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福州大学经济与管理学院2026年推荐优秀应届本科毕业生免试攻读研究生工作方案-经济与管理学院</w:t>
      </w:r>
    </w:p>
    <w:p>
      <w:pPr>
        <w:spacing w:line="360" w:lineRule="auto" w:before="0" w:after="80"/>
        <w:ind w:firstLine="482"/>
        <w:jc w:val="both"/>
      </w:pPr>
      <w:r>
        <w:rPr>
          <w:rFonts w:ascii="Times New Roman" w:hAnsi="Times New Roman" w:eastAsia="宋体"/>
          <w:b w:val="0"/>
          <w:sz w:val="24"/>
        </w:rPr>
        <w:t>根据《福州大学推荐优秀应届本科毕业生免试攻读研究生工作实施办法（2022年修订）》（福大招考〔2022〕5号）（以下简称“实施办法”）、《福州大学关于印发学生高水平科创竞赛奖励办法的通知》（福大学〔2025〕46号）和《关于做好我校2026年推荐优秀应届本科毕业生免试攻读研究生工作的通知》要求，现将我院2026年推荐优秀应届本科毕业生免试攻读研究生工作（以下简称“推免工作”）有关事项通知如下：</w:t>
      </w:r>
    </w:p>
    <w:p>
      <w:pPr>
        <w:spacing w:line="360" w:lineRule="auto" w:before="160" w:after="80"/>
        <w:ind w:firstLine="0"/>
        <w:jc w:val="left"/>
      </w:pPr>
      <w:r>
        <w:rPr>
          <w:rFonts w:ascii="Times New Roman" w:hAnsi="Times New Roman" w:eastAsia="宋体"/>
          <w:b/>
          <w:sz w:val="28"/>
        </w:rPr>
        <w:t>一、组织机构</w:t>
      </w:r>
    </w:p>
    <w:p>
      <w:pPr>
        <w:spacing w:line="360" w:lineRule="auto" w:before="0" w:after="80"/>
        <w:ind w:firstLine="482"/>
        <w:jc w:val="both"/>
      </w:pPr>
      <w:r>
        <w:rPr>
          <w:rFonts w:ascii="Times New Roman" w:hAnsi="Times New Roman" w:eastAsia="宋体"/>
          <w:b w:val="0"/>
          <w:sz w:val="24"/>
        </w:rPr>
        <w:t>成立学院推免生遴选工作领导小组及专家审核小组，负责组织实施学院推免工作。</w:t>
      </w:r>
    </w:p>
    <w:p>
      <w:pPr>
        <w:spacing w:line="360" w:lineRule="auto" w:before="160" w:after="80"/>
        <w:ind w:firstLine="0"/>
        <w:jc w:val="left"/>
      </w:pPr>
      <w:r>
        <w:rPr>
          <w:rFonts w:ascii="Times New Roman" w:hAnsi="Times New Roman" w:eastAsia="宋体"/>
          <w:b/>
          <w:sz w:val="28"/>
        </w:rPr>
        <w:t>二、推荐免试生的条件</w:t>
      </w:r>
    </w:p>
    <w:p>
      <w:pPr>
        <w:spacing w:line="360" w:lineRule="auto" w:before="0" w:after="80"/>
        <w:ind w:firstLine="482"/>
        <w:jc w:val="both"/>
      </w:pPr>
      <w:r>
        <w:rPr>
          <w:rFonts w:ascii="Times New Roman" w:hAnsi="Times New Roman" w:eastAsia="宋体"/>
          <w:b w:val="0"/>
          <w:sz w:val="24"/>
        </w:rPr>
        <w:t>推荐免试生的条件按照《福州大学推荐优秀应届本科毕业生免试攻读研究生工作实施办法（2022年修订）》（福大招考〔2022〕5号）、《福州大学关于印发学生高水平科创竞赛奖励办法的通知》（福大学〔2025〕46号）和《关于做好我校2026年推荐优秀应届本科毕业生免试攻读研究生工作的通知》等文件的规定执行。</w:t>
      </w:r>
    </w:p>
    <w:p>
      <w:pPr>
        <w:spacing w:line="360" w:lineRule="auto" w:before="160" w:after="80"/>
        <w:ind w:firstLine="0"/>
        <w:jc w:val="left"/>
      </w:pPr>
      <w:r>
        <w:rPr>
          <w:rFonts w:ascii="Times New Roman" w:hAnsi="Times New Roman" w:eastAsia="宋体"/>
          <w:b/>
          <w:sz w:val="28"/>
        </w:rPr>
        <w:t>（一）申请对象</w:t>
      </w:r>
    </w:p>
    <w:p>
      <w:pPr>
        <w:spacing w:line="360" w:lineRule="auto" w:before="0" w:after="80"/>
        <w:ind w:firstLine="482"/>
        <w:jc w:val="both"/>
      </w:pPr>
      <w:r>
        <w:rPr>
          <w:rFonts w:ascii="Times New Roman" w:hAnsi="Times New Roman" w:eastAsia="宋体"/>
          <w:b w:val="0"/>
          <w:sz w:val="24"/>
        </w:rPr>
        <w:t>纳入国家普通本科招生计划录取且推免当年首次进入本科最后一学年学习的应届毕业生（不含专升本、第二学士学位、独立学院学生），不含港澳台侨生。</w:t>
      </w:r>
    </w:p>
    <w:p>
      <w:pPr>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1.拥护中国共产党的领导、拥护社会主义制度，遵纪守法、身心健康、德智体美劳全面发展。</w:t>
      </w:r>
    </w:p>
    <w:p>
      <w:pPr>
        <w:spacing w:line="360" w:lineRule="auto" w:before="160" w:after="80"/>
        <w:ind w:firstLine="0"/>
        <w:jc w:val="left"/>
      </w:pPr>
      <w:r>
        <w:rPr>
          <w:rFonts w:ascii="Times New Roman" w:hAnsi="Times New Roman" w:eastAsia="宋体"/>
          <w:b/>
          <w:sz w:val="28"/>
        </w:rPr>
        <w:t>2.无违法违纪受处分记录，无考试作弊和剽窃他人学术成果等行为。</w:t>
      </w:r>
    </w:p>
    <w:p>
      <w:pPr>
        <w:spacing w:line="360" w:lineRule="auto" w:before="0" w:after="80"/>
        <w:ind w:firstLine="482"/>
        <w:jc w:val="both"/>
      </w:pPr>
      <w:r>
        <w:rPr>
          <w:rFonts w:ascii="Times New Roman" w:hAnsi="Times New Roman" w:eastAsia="宋体"/>
          <w:b w:val="0"/>
          <w:sz w:val="24"/>
        </w:rPr>
        <w:t>3.勤奋学习，刻苦钻研，成绩优秀；学术研究兴趣浓厚，有较强的创新意识、科研创新潜能和专业能力倾向。纳入学业综合成绩计算的课程中不得有应修但未获得学分的课程，且成绩排名和应修课程应当符合以下条件：</w:t>
      </w:r>
    </w:p>
    <w:p>
      <w:pPr>
        <w:spacing w:line="360" w:lineRule="auto" w:before="160" w:after="80"/>
        <w:ind w:firstLine="0"/>
        <w:jc w:val="left"/>
      </w:pPr>
      <w:r>
        <w:rPr>
          <w:rFonts w:ascii="Times New Roman" w:hAnsi="Times New Roman" w:eastAsia="宋体"/>
          <w:b/>
          <w:sz w:val="28"/>
        </w:rPr>
        <w:t>（1）学业综合成绩在本专业同年级排名前（含）35%，不得有补考或重修的课程；</w:t>
      </w:r>
    </w:p>
    <w:p>
      <w:pPr>
        <w:spacing w:line="360" w:lineRule="auto" w:before="160" w:after="80"/>
        <w:ind w:firstLine="0"/>
        <w:jc w:val="left"/>
      </w:pPr>
      <w:r>
        <w:rPr>
          <w:rFonts w:ascii="Times New Roman" w:hAnsi="Times New Roman" w:eastAsia="宋体"/>
          <w:b/>
          <w:sz w:val="28"/>
        </w:rPr>
        <w:t>（2）学业综合成绩在本专业同年级排名前（含）20%，允许有1门补考或重修的课程。</w:t>
      </w:r>
    </w:p>
    <w:p>
      <w:pPr>
        <w:spacing w:line="360" w:lineRule="auto" w:before="0" w:after="80"/>
        <w:ind w:firstLine="482"/>
        <w:jc w:val="both"/>
      </w:pPr>
      <w:r>
        <w:rPr>
          <w:rFonts w:ascii="Times New Roman" w:hAnsi="Times New Roman" w:eastAsia="宋体"/>
          <w:b w:val="0"/>
          <w:sz w:val="24"/>
        </w:rPr>
        <w:t>4.应具有较高的外语应用能力和水平。校内大学英语四级考试成绩要求不低于79分（文科类专业）、75分（理工类专业）。全国大学英语六级考试成绩达到教育部考试中心规定的合格分数线或全国大学英语四级考试成绩达到480分及以上，也可视为英语考试成绩符合推免生要求。</w:t>
      </w:r>
    </w:p>
    <w:p>
      <w:pPr>
        <w:spacing w:line="360" w:lineRule="auto" w:before="160" w:after="80"/>
        <w:ind w:firstLine="0"/>
        <w:jc w:val="left"/>
      </w:pPr>
      <w:r>
        <w:rPr>
          <w:rFonts w:ascii="Times New Roman" w:hAnsi="Times New Roman" w:eastAsia="宋体"/>
          <w:b/>
          <w:sz w:val="28"/>
        </w:rPr>
        <w:t>5.按照国家文件精神，对于有特殊学术专长或具有突出培养潜质者，可不受上述业务条件限制，不拘一格加以选拔，推荐程序详见第五点。</w:t>
      </w:r>
    </w:p>
    <w:p>
      <w:pPr>
        <w:spacing w:line="360" w:lineRule="auto" w:before="160" w:after="80"/>
        <w:ind w:firstLine="0"/>
        <w:jc w:val="left"/>
      </w:pPr>
      <w:r>
        <w:rPr>
          <w:rFonts w:ascii="Times New Roman" w:hAnsi="Times New Roman" w:eastAsia="宋体"/>
          <w:b/>
          <w:sz w:val="28"/>
        </w:rPr>
        <w:t>三、推免名额和具有申请推免资格学生人数</w:t>
      </w:r>
    </w:p>
    <w:p>
      <w:pPr>
        <w:spacing w:line="360" w:lineRule="auto" w:before="0" w:after="80"/>
        <w:ind w:firstLine="482"/>
        <w:jc w:val="both"/>
      </w:pPr>
      <w:r>
        <w:rPr>
          <w:rFonts w:ascii="Times New Roman" w:hAnsi="Times New Roman" w:eastAsia="宋体"/>
          <w:b w:val="0"/>
          <w:sz w:val="24"/>
        </w:rPr>
        <w:t>我院各专业的推荐比例为推免名额的1：1.2。各专业根据学校分配的推免生名额和推荐比例确定具有申请推免资格学生人数（按四舍五入确定），具有推免入围资格学生名单根据各专业同年级学业综合成绩从高到低顺序确定。如果合格生源放弃资格，须在申请材料提交截止时间前签署相关声明文件后，由后进者依次进补。各专业推免生名额和具有申请推免资格学生人数见表1。</w:t>
      </w:r>
    </w:p>
    <w:p>
      <w:pPr>
        <w:spacing w:line="360" w:lineRule="auto" w:before="120" w:after="60"/>
        <w:ind w:firstLine="0"/>
        <w:jc w:val="left"/>
      </w:pPr>
      <w:r>
        <w:rPr>
          <w:rFonts w:ascii="Times New Roman" w:hAnsi="Times New Roman" w:eastAsia="宋体"/>
          <w:b/>
          <w:sz w:val="24"/>
        </w:rPr>
        <w:t>表1 各专业推免生名额和具有申请推免资格学生人数</w:t>
      </w:r>
    </w:p>
    <w:p>
      <w:pPr>
        <w:spacing w:line="360" w:lineRule="auto" w:before="120" w:after="60"/>
        <w:ind w:firstLine="0"/>
        <w:jc w:val="left"/>
      </w:pPr>
      <w:r>
        <w:rPr>
          <w:rFonts w:ascii="Times New Roman" w:hAnsi="Times New Roman" w:eastAsia="宋体"/>
          <w:b/>
          <w:sz w:val="24"/>
        </w:rPr>
        <w:t>专业</w:t>
      </w:r>
    </w:p>
    <w:p>
      <w:pPr>
        <w:spacing w:line="360" w:lineRule="auto" w:before="120" w:after="60"/>
        <w:ind w:firstLine="0"/>
        <w:jc w:val="left"/>
      </w:pPr>
      <w:r>
        <w:rPr>
          <w:rFonts w:ascii="Times New Roman" w:hAnsi="Times New Roman" w:eastAsia="宋体"/>
          <w:b/>
          <w:sz w:val="24"/>
        </w:rPr>
        <w:t>学校分配的推免生名额</w:t>
      </w:r>
    </w:p>
    <w:p>
      <w:pPr>
        <w:spacing w:line="360" w:lineRule="auto" w:before="120" w:after="60"/>
        <w:ind w:firstLine="0"/>
        <w:jc w:val="left"/>
      </w:pPr>
      <w:r>
        <w:rPr>
          <w:rFonts w:ascii="Times New Roman" w:hAnsi="Times New Roman" w:eastAsia="宋体"/>
          <w:b/>
          <w:sz w:val="24"/>
        </w:rPr>
        <w:t>具有申请推免资格学生人数</w:t>
      </w:r>
    </w:p>
    <w:p>
      <w:pPr>
        <w:spacing w:line="360" w:lineRule="auto" w:before="120" w:after="60"/>
        <w:ind w:firstLine="0"/>
        <w:jc w:val="left"/>
      </w:pPr>
      <w:r>
        <w:rPr>
          <w:rFonts w:ascii="Times New Roman" w:hAnsi="Times New Roman" w:eastAsia="宋体"/>
          <w:b/>
          <w:sz w:val="24"/>
        </w:rPr>
        <w:t>数理金融实验班</w:t>
      </w:r>
    </w:p>
    <w:p>
      <w:pPr>
        <w:spacing w:line="360" w:lineRule="auto" w:before="0" w:after="80"/>
        <w:ind w:firstLine="482"/>
        <w:jc w:val="both"/>
      </w:pPr>
      <w:r>
        <w:rPr>
          <w:rFonts w:ascii="Times New Roman" w:hAnsi="Times New Roman" w:eastAsia="宋体"/>
          <w:b w:val="0"/>
          <w:sz w:val="24"/>
        </w:rPr>
        <w:t>9</w:t>
      </w:r>
    </w:p>
    <w:p>
      <w:pPr>
        <w:spacing w:line="360" w:lineRule="auto" w:before="0" w:after="80"/>
        <w:ind w:firstLine="482"/>
        <w:jc w:val="both"/>
      </w:pPr>
      <w:r>
        <w:rPr>
          <w:rFonts w:ascii="Times New Roman" w:hAnsi="Times New Roman" w:eastAsia="宋体"/>
          <w:b w:val="0"/>
          <w:sz w:val="24"/>
        </w:rPr>
        <w:t>11</w:t>
      </w:r>
    </w:p>
    <w:p>
      <w:pPr>
        <w:spacing w:line="360" w:lineRule="auto" w:before="120" w:after="60"/>
        <w:ind w:firstLine="0"/>
        <w:jc w:val="left"/>
      </w:pPr>
      <w:r>
        <w:rPr>
          <w:rFonts w:ascii="Times New Roman" w:hAnsi="Times New Roman" w:eastAsia="宋体"/>
          <w:b/>
          <w:sz w:val="24"/>
        </w:rPr>
        <w:t>行政管理+则徐人才实验班</w:t>
      </w:r>
    </w:p>
    <w:p>
      <w:pPr>
        <w:spacing w:line="360" w:lineRule="auto" w:before="0" w:after="80"/>
        <w:ind w:firstLine="482"/>
        <w:jc w:val="both"/>
      </w:pPr>
      <w:r>
        <w:rPr>
          <w:rFonts w:ascii="Times New Roman" w:hAnsi="Times New Roman" w:eastAsia="宋体"/>
          <w:b w:val="0"/>
          <w:sz w:val="24"/>
        </w:rPr>
        <w:t>6</w:t>
      </w:r>
    </w:p>
    <w:p>
      <w:pPr>
        <w:spacing w:line="360" w:lineRule="auto" w:before="0" w:after="80"/>
        <w:ind w:firstLine="482"/>
        <w:jc w:val="both"/>
      </w:pPr>
      <w:r>
        <w:rPr>
          <w:rFonts w:ascii="Times New Roman" w:hAnsi="Times New Roman" w:eastAsia="宋体"/>
          <w:b w:val="0"/>
          <w:sz w:val="24"/>
        </w:rPr>
        <w:t>7</w:t>
      </w:r>
    </w:p>
    <w:p>
      <w:pPr>
        <w:spacing w:line="360" w:lineRule="auto" w:before="120" w:after="60"/>
        <w:ind w:firstLine="0"/>
        <w:jc w:val="left"/>
      </w:pPr>
      <w:r>
        <w:rPr>
          <w:rFonts w:ascii="Times New Roman" w:hAnsi="Times New Roman" w:eastAsia="宋体"/>
          <w:b/>
          <w:sz w:val="24"/>
        </w:rPr>
        <w:t>公共事业管理+则徐人才实验班</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1</w:t>
      </w:r>
    </w:p>
    <w:p>
      <w:pPr>
        <w:spacing w:line="360" w:lineRule="auto" w:before="120" w:after="60"/>
        <w:ind w:firstLine="0"/>
        <w:jc w:val="left"/>
      </w:pPr>
      <w:r>
        <w:rPr>
          <w:rFonts w:ascii="Times New Roman" w:hAnsi="Times New Roman" w:eastAsia="宋体"/>
          <w:b/>
          <w:sz w:val="24"/>
        </w:rPr>
        <w:t>会计学+ ACCA方向</w:t>
      </w:r>
    </w:p>
    <w:p>
      <w:pPr>
        <w:spacing w:line="360" w:lineRule="auto" w:before="0" w:after="80"/>
        <w:ind w:firstLine="482"/>
        <w:jc w:val="both"/>
      </w:pPr>
      <w:r>
        <w:rPr>
          <w:rFonts w:ascii="Times New Roman" w:hAnsi="Times New Roman" w:eastAsia="宋体"/>
          <w:b w:val="0"/>
          <w:sz w:val="24"/>
        </w:rPr>
        <w:t>11</w:t>
      </w:r>
    </w:p>
    <w:p>
      <w:pPr>
        <w:spacing w:line="360" w:lineRule="auto" w:before="0" w:after="80"/>
        <w:ind w:firstLine="482"/>
        <w:jc w:val="both"/>
      </w:pPr>
      <w:r>
        <w:rPr>
          <w:rFonts w:ascii="Times New Roman" w:hAnsi="Times New Roman" w:eastAsia="宋体"/>
          <w:b w:val="0"/>
          <w:sz w:val="24"/>
        </w:rPr>
        <w:t>13</w:t>
      </w:r>
    </w:p>
    <w:p>
      <w:pPr>
        <w:spacing w:line="360" w:lineRule="auto" w:before="120" w:after="60"/>
        <w:ind w:firstLine="0"/>
        <w:jc w:val="left"/>
      </w:pPr>
      <w:r>
        <w:rPr>
          <w:rFonts w:ascii="Times New Roman" w:hAnsi="Times New Roman" w:eastAsia="宋体"/>
          <w:b/>
          <w:sz w:val="24"/>
        </w:rPr>
        <w:t>财务管理+ ACCA方向</w:t>
      </w:r>
    </w:p>
    <w:tbl>
      <w:tblPr>
        <w:tblStyle w:val="TableGrid"/>
        <w:tblW w:type="auto" w:w="0"/>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b/>
                <w:sz w:val="21"/>
              </w:rPr>
              <w:t>5</w:t>
            </w:r>
          </w:p>
        </w:tc>
        <w:tc>
          <w:tcPr>
            <w:tcW w:type="dxa" w:w="2878"/>
          </w:tcPr>
          <w:p>
            <w:pPr>
              <w:jc w:val="center"/>
            </w:pPr>
            <w:r>
              <w:rPr>
                <w:rFonts w:ascii="Times New Roman" w:hAnsi="Times New Roman" w:eastAsia="宋体"/>
                <w:b/>
                <w:sz w:val="21"/>
              </w:rPr>
              <w:t>6</w:t>
            </w:r>
          </w:p>
        </w:tc>
        <w:tc>
          <w:tcPr>
            <w:tcW w:type="dxa" w:w="2878"/>
          </w:tcPr>
          <w:p>
            <w:pPr>
              <w:jc w:val="center"/>
            </w:pPr>
            <w:r>
              <w:rPr>
                <w:rFonts w:ascii="Times New Roman" w:hAnsi="Times New Roman" w:eastAsia="宋体"/>
                <w:b/>
                <w:sz w:val="21"/>
              </w:rPr>
              <w:t>经济学</w:t>
            </w:r>
          </w:p>
        </w:tc>
      </w:tr>
      <w:tr>
        <w:tc>
          <w:tcPr>
            <w:tcW w:type="dxa" w:w="2878"/>
          </w:tcPr>
          <w:p>
            <w:pPr>
              <w:jc w:val="center"/>
            </w:pPr>
            <w:r>
              <w:rPr>
                <w:rFonts w:ascii="Times New Roman" w:hAnsi="Times New Roman" w:eastAsia="宋体"/>
                <w:sz w:val="21"/>
              </w:rPr>
              <w:t>4</w:t>
            </w:r>
          </w:p>
        </w:tc>
        <w:tc>
          <w:tcPr>
            <w:tcW w:type="dxa" w:w="2878"/>
          </w:tcPr>
          <w:p>
            <w:pPr>
              <w:jc w:val="center"/>
            </w:pPr>
            <w:r>
              <w:rPr>
                <w:rFonts w:ascii="Times New Roman" w:hAnsi="Times New Roman" w:eastAsia="宋体"/>
                <w:sz w:val="21"/>
              </w:rPr>
              <w:t>5</w:t>
            </w:r>
          </w:p>
        </w:tc>
        <w:tc>
          <w:tcPr>
            <w:tcW w:type="dxa" w:w="2878"/>
          </w:tcPr>
          <w:p>
            <w:pPr>
              <w:jc w:val="center"/>
            </w:pPr>
            <w:r>
              <w:rPr>
                <w:rFonts w:ascii="Times New Roman" w:hAnsi="Times New Roman" w:eastAsia="宋体"/>
                <w:sz w:val="21"/>
              </w:rPr>
              <w:t>国际经济与贸易</w:t>
            </w:r>
          </w:p>
        </w:tc>
      </w:tr>
      <w:tr>
        <w:tc>
          <w:tcPr>
            <w:tcW w:type="dxa" w:w="2878"/>
          </w:tcPr>
          <w:p>
            <w:pPr>
              <w:jc w:val="center"/>
            </w:pPr>
            <w:r>
              <w:rPr>
                <w:rFonts w:ascii="Times New Roman" w:hAnsi="Times New Roman" w:eastAsia="宋体"/>
                <w:sz w:val="21"/>
              </w:rPr>
              <w:t>3</w:t>
            </w:r>
          </w:p>
        </w:tc>
        <w:tc>
          <w:tcPr>
            <w:tcW w:type="dxa" w:w="2878"/>
          </w:tcPr>
          <w:p>
            <w:pPr>
              <w:jc w:val="center"/>
            </w:pPr>
            <w:r>
              <w:rPr>
                <w:rFonts w:ascii="Times New Roman" w:hAnsi="Times New Roman" w:eastAsia="宋体"/>
                <w:sz w:val="21"/>
              </w:rPr>
              <w:t>4</w:t>
            </w:r>
          </w:p>
        </w:tc>
        <w:tc>
          <w:tcPr>
            <w:tcW w:type="dxa" w:w="2878"/>
          </w:tcPr>
          <w:p>
            <w:pPr>
              <w:jc w:val="center"/>
            </w:pPr>
            <w:r>
              <w:rPr>
                <w:rFonts w:ascii="Times New Roman" w:hAnsi="Times New Roman" w:eastAsia="宋体"/>
                <w:sz w:val="21"/>
              </w:rPr>
              <w:t>财政学</w:t>
            </w:r>
          </w:p>
        </w:tc>
      </w:tr>
      <w:tr>
        <w:tc>
          <w:tcPr>
            <w:tcW w:type="dxa" w:w="2878"/>
          </w:tcPr>
          <w:p>
            <w:pPr>
              <w:jc w:val="center"/>
            </w:pPr>
            <w:r>
              <w:rPr>
                <w:rFonts w:ascii="Times New Roman" w:hAnsi="Times New Roman" w:eastAsia="宋体"/>
                <w:sz w:val="21"/>
              </w:rPr>
              <w:t>4</w:t>
            </w:r>
          </w:p>
        </w:tc>
        <w:tc>
          <w:tcPr>
            <w:tcW w:type="dxa" w:w="2878"/>
          </w:tcPr>
          <w:p>
            <w:pPr>
              <w:jc w:val="center"/>
            </w:pPr>
            <w:r>
              <w:rPr>
                <w:rFonts w:ascii="Times New Roman" w:hAnsi="Times New Roman" w:eastAsia="宋体"/>
                <w:sz w:val="21"/>
              </w:rPr>
              <w:t>5</w:t>
            </w:r>
          </w:p>
        </w:tc>
        <w:tc>
          <w:tcPr>
            <w:tcW w:type="dxa" w:w="2878"/>
          </w:tcPr>
          <w:p>
            <w:pPr>
              <w:jc w:val="center"/>
            </w:pPr>
            <w:r>
              <w:rPr>
                <w:rFonts w:ascii="Times New Roman" w:hAnsi="Times New Roman" w:eastAsia="宋体"/>
                <w:sz w:val="21"/>
              </w:rPr>
              <w:t>金融学</w:t>
            </w:r>
          </w:p>
        </w:tc>
      </w:tr>
      <w:tr>
        <w:tc>
          <w:tcPr>
            <w:tcW w:type="dxa" w:w="2878"/>
          </w:tcPr>
          <w:p>
            <w:pPr>
              <w:jc w:val="center"/>
            </w:pPr>
            <w:r>
              <w:rPr>
                <w:rFonts w:ascii="Times New Roman" w:hAnsi="Times New Roman" w:eastAsia="宋体"/>
                <w:sz w:val="21"/>
              </w:rPr>
              <w:t>9</w:t>
            </w:r>
          </w:p>
        </w:tc>
        <w:tc>
          <w:tcPr>
            <w:tcW w:type="dxa" w:w="2878"/>
          </w:tcPr>
          <w:p>
            <w:pPr>
              <w:jc w:val="center"/>
            </w:pPr>
            <w:r>
              <w:rPr>
                <w:rFonts w:ascii="Times New Roman" w:hAnsi="Times New Roman" w:eastAsia="宋体"/>
                <w:sz w:val="21"/>
              </w:rPr>
              <w:t>11</w:t>
            </w:r>
          </w:p>
        </w:tc>
        <w:tc>
          <w:tcPr>
            <w:tcW w:type="dxa" w:w="2878"/>
          </w:tcPr>
          <w:p>
            <w:pPr>
              <w:jc w:val="center"/>
            </w:pPr>
            <w:r>
              <w:rPr>
                <w:rFonts w:ascii="Times New Roman" w:hAnsi="Times New Roman" w:eastAsia="宋体"/>
                <w:sz w:val="21"/>
              </w:rPr>
            </w:r>
          </w:p>
        </w:tc>
      </w:tr>
    </w:tbl>
    <w:p/>
    <w:p>
      <w:pPr>
        <w:spacing w:line="360" w:lineRule="auto" w:before="120" w:after="60"/>
        <w:ind w:firstLine="0"/>
        <w:jc w:val="left"/>
      </w:pPr>
      <w:r>
        <w:rPr>
          <w:rFonts w:ascii="Times New Roman" w:hAnsi="Times New Roman" w:eastAsia="宋体"/>
          <w:b/>
          <w:sz w:val="24"/>
        </w:rPr>
        <w:t>物流管理</w:t>
      </w:r>
    </w:p>
    <w:p>
      <w:pPr>
        <w:spacing w:line="360" w:lineRule="auto" w:before="0" w:after="80"/>
        <w:ind w:firstLine="482"/>
        <w:jc w:val="both"/>
      </w:pPr>
      <w:r>
        <w:rPr>
          <w:rFonts w:ascii="Times New Roman" w:hAnsi="Times New Roman" w:eastAsia="宋体"/>
          <w:b w:val="0"/>
          <w:sz w:val="24"/>
        </w:rPr>
        <w:t>4</w:t>
      </w:r>
    </w:p>
    <w:p>
      <w:pPr>
        <w:spacing w:line="360" w:lineRule="auto" w:before="0" w:after="80"/>
        <w:ind w:firstLine="482"/>
        <w:jc w:val="both"/>
      </w:pPr>
      <w:r>
        <w:rPr>
          <w:rFonts w:ascii="Times New Roman" w:hAnsi="Times New Roman" w:eastAsia="宋体"/>
          <w:b w:val="0"/>
          <w:sz w:val="24"/>
        </w:rPr>
        <w:t>5</w:t>
      </w:r>
    </w:p>
    <w:p>
      <w:pPr>
        <w:spacing w:line="360" w:lineRule="auto" w:before="120" w:after="60"/>
        <w:ind w:firstLine="0"/>
        <w:jc w:val="left"/>
      </w:pPr>
      <w:r>
        <w:rPr>
          <w:rFonts w:ascii="Times New Roman" w:hAnsi="Times New Roman" w:eastAsia="宋体"/>
          <w:b/>
          <w:sz w:val="24"/>
        </w:rPr>
        <w:t>物流工程</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4</w:t>
      </w:r>
    </w:p>
    <w:p>
      <w:pPr>
        <w:spacing w:line="360" w:lineRule="auto" w:before="120" w:after="60"/>
        <w:ind w:firstLine="0"/>
        <w:jc w:val="left"/>
      </w:pPr>
      <w:r>
        <w:rPr>
          <w:rFonts w:ascii="Times New Roman" w:hAnsi="Times New Roman" w:eastAsia="宋体"/>
          <w:b/>
          <w:sz w:val="24"/>
        </w:rPr>
        <w:t>工商管理</w:t>
      </w:r>
    </w:p>
    <w:p>
      <w:pPr>
        <w:spacing w:line="360" w:lineRule="auto" w:before="0" w:after="80"/>
        <w:ind w:firstLine="482"/>
        <w:jc w:val="both"/>
      </w:pPr>
      <w:r>
        <w:rPr>
          <w:rFonts w:ascii="Times New Roman" w:hAnsi="Times New Roman" w:eastAsia="宋体"/>
          <w:b w:val="0"/>
          <w:sz w:val="24"/>
        </w:rPr>
        <w:t>4</w:t>
      </w:r>
    </w:p>
    <w:p>
      <w:pPr>
        <w:spacing w:line="360" w:lineRule="auto" w:before="0" w:after="80"/>
        <w:ind w:firstLine="482"/>
        <w:jc w:val="both"/>
      </w:pPr>
      <w:r>
        <w:rPr>
          <w:rFonts w:ascii="Times New Roman" w:hAnsi="Times New Roman" w:eastAsia="宋体"/>
          <w:b w:val="0"/>
          <w:sz w:val="24"/>
        </w:rPr>
        <w:t>5</w:t>
      </w:r>
    </w:p>
    <w:p>
      <w:pPr>
        <w:spacing w:line="360" w:lineRule="auto" w:before="120" w:after="60"/>
        <w:ind w:firstLine="0"/>
        <w:jc w:val="left"/>
      </w:pPr>
      <w:r>
        <w:rPr>
          <w:rFonts w:ascii="Times New Roman" w:hAnsi="Times New Roman" w:eastAsia="宋体"/>
          <w:b/>
          <w:sz w:val="24"/>
        </w:rPr>
        <w:t>市场营销</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4</w:t>
      </w:r>
    </w:p>
    <w:p>
      <w:pPr>
        <w:spacing w:line="360" w:lineRule="auto" w:before="120" w:after="60"/>
        <w:ind w:firstLine="0"/>
        <w:jc w:val="left"/>
      </w:pPr>
      <w:r>
        <w:rPr>
          <w:rFonts w:ascii="Times New Roman" w:hAnsi="Times New Roman" w:eastAsia="宋体"/>
          <w:b/>
          <w:sz w:val="24"/>
        </w:rPr>
        <w:t>信息管理与信息系统</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9</w:t>
            </w:r>
          </w:p>
        </w:tc>
        <w:tc>
          <w:tcPr>
            <w:tcW w:type="dxa" w:w="4317"/>
          </w:tcPr>
          <w:p>
            <w:pPr>
              <w:jc w:val="center"/>
            </w:pPr>
            <w:r>
              <w:rPr>
                <w:rFonts w:ascii="Times New Roman" w:hAnsi="Times New Roman" w:eastAsia="宋体"/>
                <w:b/>
                <w:sz w:val="21"/>
              </w:rPr>
              <w:t>11</w:t>
            </w:r>
          </w:p>
        </w:tc>
      </w:tr>
      <w:tr>
        <w:tc>
          <w:tcPr>
            <w:tcW w:type="dxa" w:w="4317"/>
          </w:tcPr>
          <w:p>
            <w:pPr>
              <w:jc w:val="center"/>
            </w:pPr>
            <w:r>
              <w:rPr>
                <w:rFonts w:ascii="Times New Roman" w:hAnsi="Times New Roman" w:eastAsia="宋体"/>
                <w:sz w:val="21"/>
              </w:rPr>
              <w:t>电子商务</w:t>
            </w:r>
          </w:p>
        </w:tc>
        <w:tc>
          <w:tcPr>
            <w:tcW w:type="dxa" w:w="4317"/>
          </w:tcPr>
          <w:p>
            <w:pPr>
              <w:jc w:val="center"/>
            </w:pPr>
            <w:r>
              <w:rPr>
                <w:rFonts w:ascii="Times New Roman" w:hAnsi="Times New Roman" w:eastAsia="宋体"/>
                <w:sz w:val="21"/>
              </w:rPr>
              <w:t>3</w:t>
            </w:r>
          </w:p>
        </w:tc>
      </w:tr>
      <w:tr>
        <w:tc>
          <w:tcPr>
            <w:tcW w:type="dxa" w:w="4317"/>
          </w:tcPr>
          <w:p>
            <w:pPr>
              <w:jc w:val="center"/>
            </w:pPr>
            <w:r>
              <w:rPr>
                <w:rFonts w:ascii="Times New Roman" w:hAnsi="Times New Roman" w:eastAsia="宋体"/>
                <w:sz w:val="21"/>
              </w:rPr>
              <w:t>4</w:t>
            </w:r>
          </w:p>
        </w:tc>
        <w:tc>
          <w:tcPr>
            <w:tcW w:type="dxa" w:w="4317"/>
          </w:tcPr>
          <w:p>
            <w:pPr>
              <w:jc w:val="center"/>
            </w:pPr>
            <w:r>
              <w:rPr>
                <w:rFonts w:ascii="Times New Roman" w:hAnsi="Times New Roman" w:eastAsia="宋体"/>
                <w:sz w:val="21"/>
              </w:rPr>
              <w:t>工业工程</w:t>
            </w:r>
          </w:p>
        </w:tc>
      </w:tr>
      <w:tr>
        <w:tc>
          <w:tcPr>
            <w:tcW w:type="dxa" w:w="4317"/>
          </w:tcPr>
          <w:p>
            <w:pPr>
              <w:jc w:val="center"/>
            </w:pPr>
            <w:r>
              <w:rPr>
                <w:rFonts w:ascii="Times New Roman" w:hAnsi="Times New Roman" w:eastAsia="宋体"/>
                <w:sz w:val="21"/>
              </w:rPr>
              <w:t>3</w:t>
            </w:r>
          </w:p>
        </w:tc>
        <w:tc>
          <w:tcPr>
            <w:tcW w:type="dxa" w:w="4317"/>
          </w:tcPr>
          <w:p>
            <w:pPr>
              <w:jc w:val="center"/>
            </w:pPr>
            <w:r>
              <w:rPr>
                <w:rFonts w:ascii="Times New Roman" w:hAnsi="Times New Roman" w:eastAsia="宋体"/>
                <w:sz w:val="21"/>
              </w:rPr>
              <w:t>4</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