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福州大学紫金地质与矿业学院推荐2026年优秀应届本科毕业生免试攻读研究生工作实施方案</w:t>
      </w:r>
    </w:p>
    <w:p>
      <w:pPr>
        <w:spacing w:line="360" w:lineRule="auto" w:before="0" w:after="80"/>
        <w:ind w:firstLine="482"/>
        <w:jc w:val="both"/>
      </w:pPr>
      <w:r>
        <w:rPr>
          <w:rFonts w:ascii="Times New Roman" w:hAnsi="Times New Roman" w:eastAsia="宋体"/>
          <w:b w:val="0"/>
          <w:sz w:val="24"/>
        </w:rPr>
        <w:t>根据学校《福州大学推荐优秀应届本科毕业生免试攻读研究生工作实施办法（2022年修订）》（福大招考〔2022〕5号）（以下简称“实施办法”）、《关于做好我校2026年推荐优秀应届本科毕业生免试攻读研究生工作的通知》、《关于组建福州大学第28届研究生支教团有关工作安排的通知》（校团〔2025〕5号）等相关文件精神，特制定我学院推荐2026年优秀应届本科毕业生免试攻读研究生工作实施方案。</w:t>
      </w:r>
    </w:p>
    <w:p>
      <w:pPr>
        <w:spacing w:line="360" w:lineRule="auto" w:before="160" w:after="80"/>
        <w:ind w:firstLine="0"/>
        <w:jc w:val="left"/>
      </w:pPr>
      <w:r>
        <w:rPr>
          <w:rFonts w:ascii="Times New Roman" w:hAnsi="Times New Roman" w:eastAsia="宋体"/>
          <w:b/>
          <w:sz w:val="28"/>
        </w:rPr>
        <w:t>一、成立学院推免生遴选工作领导小组和专家审核小组</w:t>
      </w:r>
    </w:p>
    <w:p>
      <w:pPr>
        <w:spacing w:line="360" w:lineRule="auto" w:before="0" w:after="80"/>
        <w:ind w:firstLine="482"/>
        <w:jc w:val="both"/>
      </w:pPr>
      <w:r>
        <w:rPr>
          <w:rFonts w:ascii="Times New Roman" w:hAnsi="Times New Roman" w:eastAsia="宋体"/>
          <w:b w:val="0"/>
          <w:sz w:val="24"/>
        </w:rPr>
        <w:t>学院成立2026年推免生遴选工作领导小组和专家审核小组。推免生遴选工作领导小组，在学校推免生遴选工作领导小组领导下，负责具体组织实施本学院推免工作，制定学院推免实施方案及工作细则。专家审核小组，负责对推免生特殊学术专长或突出培养潜质进行考察审核。推免工作坚持落实集体议事和集体决策制度。</w:t>
      </w:r>
    </w:p>
    <w:p>
      <w:pPr>
        <w:spacing w:line="360" w:lineRule="auto" w:before="0" w:after="80"/>
        <w:ind w:firstLine="482"/>
        <w:jc w:val="both"/>
      </w:pPr>
      <w:r>
        <w:rPr>
          <w:rFonts w:ascii="Times New Roman" w:hAnsi="Times New Roman" w:eastAsia="宋体"/>
          <w:b w:val="0"/>
          <w:sz w:val="24"/>
        </w:rPr>
        <w:t>推免生遴选工作领导小组应将推免工作情况以适当的形式向学院党委和纪委汇报。学院推免生工作领导小组设在学院学生工作办公室，在领导小组的领导下，负责推免生日常工作，联系电话：22865219。</w:t>
      </w:r>
    </w:p>
    <w:p>
      <w:pPr>
        <w:spacing w:line="360" w:lineRule="auto" w:before="160" w:after="80"/>
        <w:ind w:firstLine="0"/>
        <w:jc w:val="left"/>
      </w:pPr>
      <w:r>
        <w:rPr>
          <w:rFonts w:ascii="Times New Roman" w:hAnsi="Times New Roman" w:eastAsia="宋体"/>
          <w:b/>
          <w:sz w:val="28"/>
        </w:rPr>
        <w:t>二、本院推免生遴选程序</w:t>
      </w:r>
    </w:p>
    <w:p>
      <w:pPr>
        <w:spacing w:line="360" w:lineRule="auto" w:before="120" w:after="60"/>
        <w:ind w:firstLine="0"/>
        <w:jc w:val="left"/>
      </w:pPr>
      <w:r>
        <w:rPr>
          <w:rFonts w:ascii="Times New Roman" w:hAnsi="Times New Roman" w:eastAsia="宋体"/>
          <w:b/>
          <w:sz w:val="24"/>
        </w:rPr>
        <w:t>1．接收学生报名，确定推荐名单</w:t>
      </w:r>
    </w:p>
    <w:p>
      <w:pPr>
        <w:spacing w:line="360" w:lineRule="auto" w:before="0" w:after="80"/>
        <w:ind w:firstLine="482"/>
        <w:jc w:val="both"/>
      </w:pPr>
      <w:r>
        <w:rPr>
          <w:rFonts w:ascii="Times New Roman" w:hAnsi="Times New Roman" w:eastAsia="宋体"/>
          <w:b w:val="0"/>
          <w:sz w:val="24"/>
        </w:rPr>
        <w:t>学院向学生公布学校和学院有关推免生的规章制度，接收学生报名，报名时间截至9月10日16:00。符合条件但放弃报名的同学需要提供知情承诺书。申请条件：</w:t>
      </w:r>
    </w:p>
    <w:p>
      <w:pPr>
        <w:spacing w:line="360" w:lineRule="auto" w:before="160" w:after="80"/>
        <w:ind w:firstLine="0"/>
        <w:jc w:val="left"/>
      </w:pPr>
      <w:r>
        <w:rPr>
          <w:rFonts w:ascii="Times New Roman" w:hAnsi="Times New Roman" w:eastAsia="宋体"/>
          <w:b/>
          <w:sz w:val="28"/>
        </w:rPr>
        <w:t>（1）拥护中国共产党的领导、拥护社会主义制度，遵纪守法、身心健康、德智体美劳全面发展。</w:t>
      </w:r>
    </w:p>
    <w:p>
      <w:pPr>
        <w:spacing w:line="360" w:lineRule="auto" w:before="160" w:after="80"/>
        <w:ind w:firstLine="0"/>
        <w:jc w:val="left"/>
      </w:pPr>
      <w:r>
        <w:rPr>
          <w:rFonts w:ascii="Times New Roman" w:hAnsi="Times New Roman" w:eastAsia="宋体"/>
          <w:b/>
          <w:sz w:val="28"/>
        </w:rPr>
        <w:t>（2）无违法违纪受处分记录，无考试作弊和剽窃他人学术成果等行为。</w:t>
      </w:r>
    </w:p>
    <w:p>
      <w:pPr>
        <w:spacing w:line="360" w:lineRule="auto" w:before="0" w:after="80"/>
        <w:ind w:firstLine="482"/>
        <w:jc w:val="both"/>
      </w:pPr>
      <w:r>
        <w:rPr>
          <w:rFonts w:ascii="Times New Roman" w:hAnsi="Times New Roman" w:eastAsia="宋体"/>
          <w:b w:val="0"/>
          <w:sz w:val="24"/>
        </w:rPr>
        <w:t>（3）勤奋学习，刻苦钻研，成绩优秀；学术研究兴趣浓厚，有较强的创新意识、科研创新潜能和专业能力倾向。纳入学业综合成绩计算的课程中不得有应修但未获得学分的课程，且成绩排名和应修课程应当符合以下条件：</w:t>
      </w:r>
    </w:p>
    <w:p>
      <w:pPr>
        <w:spacing w:line="360" w:lineRule="auto" w:before="0" w:after="80"/>
        <w:ind w:firstLine="482"/>
        <w:jc w:val="both"/>
      </w:pPr>
      <w:r>
        <w:rPr>
          <w:rFonts w:ascii="Times New Roman" w:hAnsi="Times New Roman" w:eastAsia="宋体"/>
          <w:b w:val="0"/>
          <w:sz w:val="24"/>
        </w:rPr>
        <w:t>学业综合成绩在本专业同年级排名前（含）35%，不得有补考或重修的课程；学业综合成绩在本专业同年级排名前（含）20％，允许有1门补考或重修的课程。</w:t>
      </w:r>
    </w:p>
    <w:p>
      <w:pPr>
        <w:spacing w:line="360" w:lineRule="auto" w:before="0" w:after="80"/>
        <w:ind w:firstLine="482"/>
        <w:jc w:val="both"/>
      </w:pPr>
      <w:r>
        <w:rPr>
          <w:rFonts w:ascii="Times New Roman" w:hAnsi="Times New Roman" w:eastAsia="宋体"/>
          <w:b w:val="0"/>
          <w:sz w:val="24"/>
        </w:rPr>
        <w:t>（4）应具有较高的外语应用能力和水平。校内大学英语四级考试成绩要求为：75分；或全国大学英语六级考试成绩达到教育部考试中心规定的合格分数线，或全国大学英语四级考试成绩达到480分及以上（艺术类学生达到425分及以上），也可视为英语考试成绩符合推免生要求。</w:t>
      </w:r>
    </w:p>
    <w:p>
      <w:pPr>
        <w:spacing w:line="360" w:lineRule="auto" w:before="160" w:after="80"/>
        <w:ind w:firstLine="0"/>
        <w:jc w:val="left"/>
      </w:pPr>
      <w:r>
        <w:rPr>
          <w:rFonts w:ascii="Times New Roman" w:hAnsi="Times New Roman" w:eastAsia="宋体"/>
          <w:b/>
          <w:sz w:val="28"/>
        </w:rPr>
        <w:t>（5）按照国家文件精神，对于有特殊学术专长或具有突出培养潜质者，可不受上述业务条件限制，不拘一格加以选拔，推荐程序详见第二点第2条。</w:t>
      </w:r>
    </w:p>
    <w:p>
      <w:pPr>
        <w:spacing w:line="360" w:lineRule="auto" w:before="0" w:after="80"/>
        <w:ind w:firstLine="482"/>
        <w:jc w:val="both"/>
      </w:pPr>
      <w:r>
        <w:rPr>
          <w:rFonts w:ascii="Times New Roman" w:hAnsi="Times New Roman" w:eastAsia="宋体"/>
          <w:b w:val="0"/>
          <w:sz w:val="24"/>
        </w:rPr>
        <w:t>学院的推荐比例为推免名额的1:1.5，根据校招考《关于做好我校2026年推荐优秀应届本科毕业生免试攻读研究生工作的通知》文件规定，各专业推免生名额和推荐人数如下表1。</w:t>
      </w:r>
    </w:p>
    <w:p>
      <w:pPr>
        <w:spacing w:line="360" w:lineRule="auto" w:before="120" w:after="60"/>
        <w:ind w:firstLine="0"/>
        <w:jc w:val="left"/>
      </w:pPr>
      <w:r>
        <w:rPr>
          <w:rFonts w:ascii="Times New Roman" w:hAnsi="Times New Roman" w:eastAsia="宋体"/>
          <w:b/>
          <w:sz w:val="24"/>
        </w:rPr>
        <w:t>表1 推免生名额和推荐人数分配表</w:t>
      </w:r>
    </w:p>
    <w:p>
      <w:pPr>
        <w:spacing w:line="360" w:lineRule="auto" w:before="120" w:after="60"/>
        <w:ind w:firstLine="0"/>
        <w:jc w:val="left"/>
      </w:pPr>
      <w:r>
        <w:rPr>
          <w:rFonts w:ascii="Times New Roman" w:hAnsi="Times New Roman" w:eastAsia="宋体"/>
          <w:b/>
          <w:sz w:val="24"/>
        </w:rPr>
        <w:t>专业</w:t>
      </w:r>
    </w:p>
    <w:p>
      <w:pPr>
        <w:spacing w:line="360" w:lineRule="auto" w:before="120" w:after="60"/>
        <w:ind w:firstLine="0"/>
        <w:jc w:val="left"/>
      </w:pPr>
      <w:r>
        <w:rPr>
          <w:rFonts w:ascii="Times New Roman" w:hAnsi="Times New Roman" w:eastAsia="宋体"/>
          <w:b/>
          <w:sz w:val="24"/>
        </w:rPr>
        <w:t>推免生名额</w:t>
      </w:r>
    </w:p>
    <w:tbl>
      <w:tblPr>
        <w:tblStyle w:val="TableGrid"/>
        <w:tblW w:type="auto" w:w="0"/>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b/>
                <w:sz w:val="21"/>
              </w:rPr>
              <w:t>推荐人数</w:t>
            </w:r>
          </w:p>
        </w:tc>
        <w:tc>
          <w:tcPr>
            <w:tcW w:type="dxa" w:w="2878"/>
          </w:tcPr>
          <w:p>
            <w:pPr>
              <w:jc w:val="center"/>
            </w:pPr>
            <w:r>
              <w:rPr>
                <w:rFonts w:ascii="Times New Roman" w:hAnsi="Times New Roman" w:eastAsia="宋体"/>
                <w:b/>
                <w:sz w:val="21"/>
              </w:rPr>
              <w:t>地采复合型实验班</w:t>
            </w:r>
          </w:p>
        </w:tc>
        <w:tc>
          <w:tcPr>
            <w:tcW w:type="dxa" w:w="2878"/>
          </w:tcPr>
          <w:p>
            <w:pPr>
              <w:jc w:val="center"/>
            </w:pPr>
            <w:r>
              <w:rPr>
                <w:rFonts w:ascii="Times New Roman" w:hAnsi="Times New Roman" w:eastAsia="宋体"/>
                <w:b/>
                <w:sz w:val="21"/>
              </w:rPr>
              <w:t>2</w:t>
            </w:r>
          </w:p>
        </w:tc>
      </w:tr>
      <w:tr>
        <w:tc>
          <w:tcPr>
            <w:tcW w:type="dxa" w:w="2878"/>
          </w:tcPr>
          <w:p>
            <w:pPr>
              <w:jc w:val="center"/>
            </w:pPr>
            <w:r>
              <w:rPr>
                <w:rFonts w:ascii="Times New Roman" w:hAnsi="Times New Roman" w:eastAsia="宋体"/>
                <w:sz w:val="21"/>
              </w:rPr>
              <w:t>3</w:t>
            </w:r>
          </w:p>
        </w:tc>
        <w:tc>
          <w:tcPr>
            <w:tcW w:type="dxa" w:w="2878"/>
          </w:tcPr>
          <w:p>
            <w:pPr>
              <w:jc w:val="center"/>
            </w:pPr>
            <w:r>
              <w:rPr>
                <w:rFonts w:ascii="Times New Roman" w:hAnsi="Times New Roman" w:eastAsia="宋体"/>
                <w:sz w:val="21"/>
              </w:rPr>
              <w:t>矿物加工工程</w:t>
            </w:r>
          </w:p>
        </w:tc>
        <w:tc>
          <w:tcPr>
            <w:tcW w:type="dxa" w:w="2878"/>
          </w:tcPr>
          <w:p>
            <w:pPr>
              <w:jc w:val="center"/>
            </w:pPr>
            <w:r>
              <w:rPr>
                <w:rFonts w:ascii="Times New Roman" w:hAnsi="Times New Roman" w:eastAsia="宋体"/>
                <w:sz w:val="21"/>
              </w:rPr>
              <w:t>6</w:t>
            </w:r>
          </w:p>
        </w:tc>
      </w:tr>
      <w:tr>
        <w:tc>
          <w:tcPr>
            <w:tcW w:type="dxa" w:w="2878"/>
          </w:tcPr>
          <w:p>
            <w:pPr>
              <w:jc w:val="center"/>
            </w:pPr>
            <w:r>
              <w:rPr>
                <w:rFonts w:ascii="Times New Roman" w:hAnsi="Times New Roman" w:eastAsia="宋体"/>
                <w:sz w:val="21"/>
              </w:rPr>
              <w:t>9</w:t>
            </w:r>
          </w:p>
        </w:tc>
        <w:tc>
          <w:tcPr>
            <w:tcW w:type="dxa" w:w="2878"/>
          </w:tcPr>
          <w:p>
            <w:pPr>
              <w:jc w:val="center"/>
            </w:pPr>
            <w:r>
              <w:rPr>
                <w:rFonts w:ascii="Times New Roman" w:hAnsi="Times New Roman" w:eastAsia="宋体"/>
                <w:sz w:val="21"/>
              </w:rPr>
              <w:t>资源勘查工程</w:t>
            </w:r>
          </w:p>
        </w:tc>
        <w:tc>
          <w:tcPr>
            <w:tcW w:type="dxa" w:w="2878"/>
          </w:tcPr>
          <w:p>
            <w:pPr>
              <w:jc w:val="center"/>
            </w:pPr>
            <w:r>
              <w:rPr>
                <w:rFonts w:ascii="Times New Roman" w:hAnsi="Times New Roman" w:eastAsia="宋体"/>
                <w:sz w:val="21"/>
              </w:rPr>
              <w:t>5</w:t>
            </w:r>
          </w:p>
        </w:tc>
      </w:tr>
      <w:tr>
        <w:tc>
          <w:tcPr>
            <w:tcW w:type="dxa" w:w="2878"/>
          </w:tcPr>
          <w:p>
            <w:pPr>
              <w:jc w:val="center"/>
            </w:pPr>
            <w:r>
              <w:rPr>
                <w:rFonts w:ascii="Times New Roman" w:hAnsi="Times New Roman" w:eastAsia="宋体"/>
                <w:sz w:val="21"/>
              </w:rPr>
              <w:t>8</w:t>
            </w:r>
          </w:p>
        </w:tc>
        <w:tc>
          <w:tcPr>
            <w:tcW w:type="dxa" w:w="2878"/>
          </w:tcPr>
          <w:p>
            <w:pPr>
              <w:jc w:val="center"/>
            </w:pPr>
            <w:r>
              <w:rPr>
                <w:rFonts w:ascii="Times New Roman" w:hAnsi="Times New Roman" w:eastAsia="宋体"/>
                <w:sz w:val="21"/>
              </w:rPr>
              <w:t>地质工程</w:t>
            </w:r>
          </w:p>
        </w:tc>
        <w:tc>
          <w:tcPr>
            <w:tcW w:type="dxa" w:w="2878"/>
          </w:tcPr>
          <w:p>
            <w:pPr>
              <w:jc w:val="center"/>
            </w:pPr>
            <w:r>
              <w:rPr>
                <w:rFonts w:ascii="Times New Roman" w:hAnsi="Times New Roman" w:eastAsia="宋体"/>
                <w:sz w:val="21"/>
              </w:rPr>
              <w:t>4</w:t>
            </w:r>
          </w:p>
        </w:tc>
      </w:tr>
      <w:tr>
        <w:tc>
          <w:tcPr>
            <w:tcW w:type="dxa" w:w="2878"/>
          </w:tcPr>
          <w:p>
            <w:pPr>
              <w:jc w:val="center"/>
            </w:pPr>
            <w:r>
              <w:rPr>
                <w:rFonts w:ascii="Times New Roman" w:hAnsi="Times New Roman" w:eastAsia="宋体"/>
                <w:sz w:val="21"/>
              </w:rPr>
              <w:t>6</w:t>
            </w:r>
          </w:p>
        </w:tc>
        <w:tc>
          <w:tcPr>
            <w:tcW w:type="dxa" w:w="2878"/>
          </w:tcPr>
          <w:p>
            <w:pPr>
              <w:jc w:val="center"/>
            </w:pPr>
            <w:r>
              <w:rPr>
                <w:rFonts w:ascii="Times New Roman" w:hAnsi="Times New Roman" w:eastAsia="宋体"/>
                <w:sz w:val="21"/>
              </w:rPr>
              <w:t>采矿工程</w:t>
            </w:r>
          </w:p>
        </w:tc>
        <w:tc>
          <w:tcPr>
            <w:tcW w:type="dxa" w:w="2878"/>
          </w:tcPr>
          <w:p>
            <w:pPr>
              <w:jc w:val="center"/>
            </w:pPr>
            <w:r>
              <w:rPr>
                <w:rFonts w:ascii="Times New Roman" w:hAnsi="Times New Roman" w:eastAsia="宋体"/>
                <w:sz w:val="21"/>
              </w:rPr>
              <w:t>4</w:t>
            </w:r>
          </w:p>
        </w:tc>
      </w:tr>
      <w:tr>
        <w:tc>
          <w:tcPr>
            <w:tcW w:type="dxa" w:w="2878"/>
          </w:tcPr>
          <w:p>
            <w:pPr>
              <w:jc w:val="center"/>
            </w:pPr>
            <w:r>
              <w:rPr>
                <w:rFonts w:ascii="Times New Roman" w:hAnsi="Times New Roman" w:eastAsia="宋体"/>
                <w:sz w:val="21"/>
              </w:rPr>
              <w:t>6</w:t>
            </w:r>
          </w:p>
        </w:tc>
        <w:tc>
          <w:tcPr>
            <w:tcW w:type="dxa" w:w="2878"/>
          </w:tcPr>
          <w:p>
            <w:pPr>
              <w:jc w:val="center"/>
            </w:pPr>
            <w:r>
              <w:rPr>
                <w:rFonts w:ascii="Times New Roman" w:hAnsi="Times New Roman" w:eastAsia="宋体"/>
                <w:sz w:val="21"/>
              </w:rPr>
              <w:t>奖励性指标</w:t>
            </w:r>
          </w:p>
        </w:tc>
        <w:tc>
          <w:tcPr>
            <w:tcW w:type="dxa" w:w="2878"/>
          </w:tcPr>
          <w:p>
            <w:pPr>
              <w:jc w:val="center"/>
            </w:pPr>
            <w:r>
              <w:rPr>
                <w:rFonts w:ascii="Times New Roman" w:hAnsi="Times New Roman" w:eastAsia="宋体"/>
                <w:sz w:val="21"/>
              </w:rPr>
              <w:t>2</w:t>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