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生物与制药学院关于推荐2026届优秀应届本科毕业生免试攻读硕士研究生工作实施方案</w:t>
      </w:r>
    </w:p>
    <w:p>
      <w:pPr>
        <w:spacing w:line="360" w:lineRule="auto" w:before="0" w:after="80"/>
        <w:ind w:firstLine="482"/>
        <w:jc w:val="both"/>
      </w:pPr>
      <w:r>
        <w:rPr>
          <w:rFonts w:ascii="Times New Roman" w:hAnsi="Times New Roman" w:eastAsia="宋体"/>
          <w:b w:val="0"/>
          <w:sz w:val="24"/>
        </w:rPr>
        <w:t>根据学校教务处《关于开展推荐2026届优秀应届本科毕业生免试攻读硕士学位研究生工作的通知》，以及《三峡大学推荐优秀应届本科毕业生免试攻读硕士学位研究生工作管理办法（修订版）》（三峡大教〔2022〕43号）、《三峡大学推荐优秀应届本科毕业生免试攻读硕士学位研究生工作管理办法》（修订）（三峡大教〔2024〕2号）（以下简称《管理办法》），特制订本方案。</w:t>
      </w:r>
    </w:p>
    <w:p>
      <w:pPr>
        <w:spacing w:line="360" w:lineRule="auto" w:before="160" w:after="80"/>
        <w:ind w:firstLine="0"/>
        <w:jc w:val="left"/>
      </w:pPr>
      <w:r>
        <w:rPr>
          <w:rFonts w:ascii="Times New Roman" w:hAnsi="Times New Roman" w:eastAsia="宋体"/>
          <w:b/>
          <w:sz w:val="28"/>
        </w:rPr>
        <w:t>一、 组织领导</w:t>
      </w:r>
    </w:p>
    <w:p>
      <w:pPr>
        <w:spacing w:line="360" w:lineRule="auto" w:before="160" w:after="80"/>
        <w:ind w:firstLine="0"/>
        <w:jc w:val="left"/>
      </w:pPr>
      <w:r>
        <w:rPr>
          <w:rFonts w:ascii="Times New Roman" w:hAnsi="Times New Roman" w:eastAsia="宋体"/>
          <w:b/>
          <w:sz w:val="28"/>
        </w:rPr>
        <w:t>1.学院成立推免生遴选工作小组，具体组织实施学院的推荐工作。</w:t>
      </w:r>
    </w:p>
    <w:p>
      <w:pPr>
        <w:spacing w:line="360" w:lineRule="auto" w:before="120" w:after="60"/>
        <w:ind w:firstLine="0"/>
        <w:jc w:val="left"/>
      </w:pPr>
      <w:r>
        <w:rPr>
          <w:rFonts w:ascii="Times New Roman" w:hAnsi="Times New Roman" w:eastAsia="宋体"/>
          <w:b/>
          <w:sz w:val="24"/>
        </w:rPr>
        <w:t>组 长：周海峰</w:t>
      </w:r>
    </w:p>
    <w:p>
      <w:pPr>
        <w:spacing w:line="360" w:lineRule="auto" w:before="120" w:after="60"/>
        <w:ind w:firstLine="0"/>
        <w:jc w:val="left"/>
      </w:pPr>
      <w:r>
        <w:rPr>
          <w:rFonts w:ascii="Times New Roman" w:hAnsi="Times New Roman" w:eastAsia="宋体"/>
          <w:b/>
          <w:sz w:val="24"/>
        </w:rPr>
        <w:t>副组长：何正权</w:t>
      </w:r>
    </w:p>
    <w:p>
      <w:pPr>
        <w:spacing w:line="360" w:lineRule="auto" w:before="120" w:after="60"/>
        <w:ind w:firstLine="0"/>
        <w:jc w:val="left"/>
      </w:pPr>
      <w:r>
        <w:rPr>
          <w:rFonts w:ascii="Times New Roman" w:hAnsi="Times New Roman" w:eastAsia="宋体"/>
          <w:b/>
          <w:sz w:val="24"/>
        </w:rPr>
        <w:t>成 员：杨昌英、刘士成、涂璇、王玉兵、刘祈星</w:t>
      </w:r>
    </w:p>
    <w:p>
      <w:pPr>
        <w:spacing w:line="360" w:lineRule="auto" w:before="0" w:after="80"/>
        <w:ind w:firstLine="482"/>
        <w:jc w:val="both"/>
      </w:pPr>
      <w:r>
        <w:rPr>
          <w:rFonts w:ascii="Times New Roman" w:hAnsi="Times New Roman" w:eastAsia="宋体"/>
          <w:b w:val="0"/>
          <w:sz w:val="24"/>
        </w:rPr>
        <w:t>遴选工作小组下设办公室，办公室设在学院教学办。</w:t>
      </w:r>
    </w:p>
    <w:p>
      <w:pPr>
        <w:spacing w:line="360" w:lineRule="auto" w:before="160" w:after="80"/>
        <w:ind w:firstLine="0"/>
        <w:jc w:val="left"/>
      </w:pPr>
      <w:r>
        <w:rPr>
          <w:rFonts w:ascii="Times New Roman" w:hAnsi="Times New Roman" w:eastAsia="宋体"/>
          <w:b/>
          <w:sz w:val="28"/>
        </w:rPr>
        <w:t>2.学院成立推免生遴选专家审核小组，具体实施本单位相关推免生成果的审核鉴定等工作。</w:t>
      </w:r>
    </w:p>
    <w:p>
      <w:pPr>
        <w:spacing w:line="360" w:lineRule="auto" w:before="120" w:after="60"/>
        <w:ind w:firstLine="0"/>
        <w:jc w:val="left"/>
      </w:pPr>
      <w:r>
        <w:rPr>
          <w:rFonts w:ascii="Times New Roman" w:hAnsi="Times New Roman" w:eastAsia="宋体"/>
          <w:b/>
          <w:sz w:val="24"/>
        </w:rPr>
        <w:t>成员：何正权、周友兵、涂璇、王玉兵、刘祈星</w:t>
      </w:r>
    </w:p>
    <w:p>
      <w:pPr>
        <w:spacing w:line="360" w:lineRule="auto" w:before="160" w:after="80"/>
        <w:ind w:firstLine="0"/>
        <w:jc w:val="left"/>
      </w:pPr>
      <w:r>
        <w:rPr>
          <w:rFonts w:ascii="Times New Roman" w:hAnsi="Times New Roman" w:eastAsia="宋体"/>
          <w:b/>
          <w:sz w:val="28"/>
        </w:rPr>
        <w:t>二、推荐条件</w:t>
      </w:r>
    </w:p>
    <w:p>
      <w:pPr>
        <w:spacing w:line="360" w:lineRule="auto" w:before="0" w:after="80"/>
        <w:ind w:firstLine="482"/>
        <w:jc w:val="both"/>
      </w:pPr>
      <w:r>
        <w:rPr>
          <w:rFonts w:ascii="Times New Roman" w:hAnsi="Times New Roman" w:eastAsia="宋体"/>
          <w:b w:val="0"/>
          <w:sz w:val="24"/>
        </w:rPr>
        <w:t>按照《管理办法》（三峡大教〔2022〕43号）的要求执行；关于“所修课程（按标准学制正常学习应修课程计算，不含素质拓展课程）按学分加权平均成绩(百分制)排名在本专业前2%以内（含2%）的学生，且当年其所在专业有推免指标的，直接获得推免资格。”相关要求按《管理办法》（三峡大教〔2024〕2号）执行。</w:t>
      </w:r>
    </w:p>
    <w:p>
      <w:pPr>
        <w:spacing w:line="360" w:lineRule="auto" w:before="160" w:after="80"/>
        <w:ind w:firstLine="0"/>
        <w:jc w:val="left"/>
      </w:pPr>
      <w:r>
        <w:rPr>
          <w:rFonts w:ascii="Times New Roman" w:hAnsi="Times New Roman" w:eastAsia="宋体"/>
          <w:b/>
          <w:sz w:val="28"/>
        </w:rPr>
        <w:t>三、 推荐名额</w:t>
      </w:r>
    </w:p>
    <w:p>
      <w:pPr>
        <w:spacing w:line="360" w:lineRule="auto" w:before="0" w:after="80"/>
        <w:ind w:firstLine="482"/>
        <w:jc w:val="both"/>
      </w:pPr>
      <w:r>
        <w:rPr>
          <w:rFonts w:ascii="Times New Roman" w:hAnsi="Times New Roman" w:eastAsia="宋体"/>
          <w:b w:val="0"/>
          <w:sz w:val="24"/>
        </w:rPr>
        <w:t>学校下达给学院推荐名额共12人，学院推免生遴选工作小组根据学院应届本科毕业生人数和专业建设成效，经研究决定，2026届各专业分配名额如下：</w:t>
      </w:r>
    </w:p>
    <w:tbl>
      <w:tblPr>
        <w:tblStyle w:val="TableGrid"/>
        <w:tblW w:type="auto" w:w="0"/>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b/>
                <w:sz w:val="21"/>
              </w:rPr>
              <w:t>专业</w:t>
            </w:r>
          </w:p>
        </w:tc>
        <w:tc>
          <w:tcPr>
            <w:tcW w:type="dxa" w:w="2878"/>
          </w:tcPr>
          <w:p>
            <w:pPr>
              <w:jc w:val="center"/>
            </w:pPr>
            <w:r>
              <w:rPr>
                <w:rFonts w:ascii="Times New Roman" w:hAnsi="Times New Roman" w:eastAsia="宋体"/>
                <w:b/>
                <w:sz w:val="21"/>
              </w:rPr>
              <w:t>应届毕业生人数</w:t>
            </w:r>
          </w:p>
        </w:tc>
        <w:tc>
          <w:tcPr>
            <w:tcW w:type="dxa" w:w="2878"/>
          </w:tcPr>
          <w:p>
            <w:pPr>
              <w:jc w:val="center"/>
            </w:pPr>
            <w:r>
              <w:rPr>
                <w:rFonts w:ascii="Times New Roman" w:hAnsi="Times New Roman" w:eastAsia="宋体"/>
                <w:b/>
                <w:sz w:val="21"/>
              </w:rPr>
              <w:t>分配名额</w:t>
            </w:r>
          </w:p>
        </w:tc>
      </w:tr>
      <w:tr>
        <w:tc>
          <w:tcPr>
            <w:tcW w:type="dxa" w:w="2878"/>
          </w:tcPr>
          <w:p>
            <w:pPr>
              <w:jc w:val="center"/>
            </w:pPr>
            <w:r>
              <w:rPr>
                <w:rFonts w:ascii="Times New Roman" w:hAnsi="Times New Roman" w:eastAsia="宋体"/>
                <w:sz w:val="21"/>
              </w:rPr>
              <w:t>生物科学</w:t>
            </w:r>
          </w:p>
        </w:tc>
        <w:tc>
          <w:tcPr>
            <w:tcW w:type="dxa" w:w="2878"/>
          </w:tcPr>
          <w:p>
            <w:pPr>
              <w:jc w:val="center"/>
            </w:pPr>
            <w:r>
              <w:rPr>
                <w:rFonts w:ascii="Times New Roman" w:hAnsi="Times New Roman" w:eastAsia="宋体"/>
                <w:sz w:val="21"/>
              </w:rPr>
              <w:t>61</w:t>
            </w:r>
          </w:p>
        </w:tc>
        <w:tc>
          <w:tcPr>
            <w:tcW w:type="dxa" w:w="2878"/>
          </w:tcPr>
          <w:p>
            <w:pPr>
              <w:jc w:val="center"/>
            </w:pPr>
            <w:r>
              <w:rPr>
                <w:rFonts w:ascii="Times New Roman" w:hAnsi="Times New Roman" w:eastAsia="宋体"/>
                <w:sz w:val="21"/>
              </w:rPr>
              <w:t>3</w:t>
            </w:r>
          </w:p>
        </w:tc>
      </w:tr>
      <w:tr>
        <w:tc>
          <w:tcPr>
            <w:tcW w:type="dxa" w:w="2878"/>
          </w:tcPr>
          <w:p>
            <w:pPr>
              <w:jc w:val="center"/>
            </w:pPr>
            <w:r>
              <w:rPr>
                <w:rFonts w:ascii="Times New Roman" w:hAnsi="Times New Roman" w:eastAsia="宋体"/>
                <w:sz w:val="21"/>
              </w:rPr>
              <w:t>制药工程</w:t>
            </w:r>
          </w:p>
        </w:tc>
        <w:tc>
          <w:tcPr>
            <w:tcW w:type="dxa" w:w="2878"/>
          </w:tcPr>
          <w:p>
            <w:pPr>
              <w:jc w:val="center"/>
            </w:pPr>
            <w:r>
              <w:rPr>
                <w:rFonts w:ascii="Times New Roman" w:hAnsi="Times New Roman" w:eastAsia="宋体"/>
                <w:sz w:val="21"/>
              </w:rPr>
              <w:t>68</w:t>
            </w:r>
          </w:p>
        </w:tc>
        <w:tc>
          <w:tcPr>
            <w:tcW w:type="dxa" w:w="2878"/>
          </w:tcPr>
          <w:p>
            <w:pPr>
              <w:jc w:val="center"/>
            </w:pPr>
            <w:r>
              <w:rPr>
                <w:rFonts w:ascii="Times New Roman" w:hAnsi="Times New Roman" w:eastAsia="宋体"/>
                <w:sz w:val="21"/>
              </w:rPr>
              <w:t>4</w:t>
            </w:r>
          </w:p>
        </w:tc>
      </w:tr>
      <w:tr>
        <w:tc>
          <w:tcPr>
            <w:tcW w:type="dxa" w:w="2878"/>
          </w:tcPr>
          <w:p>
            <w:pPr>
              <w:jc w:val="center"/>
            </w:pPr>
            <w:r>
              <w:rPr>
                <w:rFonts w:ascii="Times New Roman" w:hAnsi="Times New Roman" w:eastAsia="宋体"/>
                <w:sz w:val="21"/>
              </w:rPr>
              <w:t>生物工程</w:t>
            </w:r>
          </w:p>
        </w:tc>
        <w:tc>
          <w:tcPr>
            <w:tcW w:type="dxa" w:w="2878"/>
          </w:tcPr>
          <w:p>
            <w:pPr>
              <w:jc w:val="center"/>
            </w:pPr>
            <w:r>
              <w:rPr>
                <w:rFonts w:ascii="Times New Roman" w:hAnsi="Times New Roman" w:eastAsia="宋体"/>
                <w:sz w:val="21"/>
              </w:rPr>
              <w:t>62</w:t>
            </w:r>
          </w:p>
        </w:tc>
        <w:tc>
          <w:tcPr>
            <w:tcW w:type="dxa" w:w="2878"/>
          </w:tcPr>
          <w:p>
            <w:pPr>
              <w:jc w:val="center"/>
            </w:pPr>
            <w:r>
              <w:rPr>
                <w:rFonts w:ascii="Times New Roman" w:hAnsi="Times New Roman" w:eastAsia="宋体"/>
                <w:sz w:val="21"/>
              </w:rPr>
              <w:t>5</w:t>
            </w:r>
          </w:p>
        </w:tc>
      </w:tr>
      <w:tr>
        <w:tc>
          <w:tcPr>
            <w:tcW w:type="dxa" w:w="2878"/>
          </w:tcPr>
          <w:p>
            <w:pPr>
              <w:jc w:val="center"/>
            </w:pPr>
            <w:r>
              <w:rPr>
                <w:rFonts w:ascii="Times New Roman" w:hAnsi="Times New Roman" w:eastAsia="宋体"/>
                <w:sz w:val="21"/>
              </w:rPr>
              <w:t>合 计</w:t>
            </w:r>
          </w:p>
        </w:tc>
        <w:tc>
          <w:tcPr>
            <w:tcW w:type="dxa" w:w="2878"/>
          </w:tcPr>
          <w:p>
            <w:pPr>
              <w:jc w:val="center"/>
            </w:pPr>
            <w:r>
              <w:rPr>
                <w:rFonts w:ascii="Times New Roman" w:hAnsi="Times New Roman" w:eastAsia="宋体"/>
                <w:sz w:val="21"/>
              </w:rPr>
              <w:t>191</w:t>
            </w:r>
          </w:p>
        </w:tc>
        <w:tc>
          <w:tcPr>
            <w:tcW w:type="dxa" w:w="2878"/>
          </w:tcPr>
          <w:p>
            <w:pPr>
              <w:jc w:val="center"/>
            </w:pPr>
            <w:r>
              <w:rPr>
                <w:rFonts w:ascii="Times New Roman" w:hAnsi="Times New Roman" w:eastAsia="宋体"/>
                <w:sz w:val="21"/>
              </w:rPr>
              <w:t>12</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