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地球科学学院2026年推荐优秀应届本科毕业生免试攻读研究生工作实施细则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根据《浙江大学推荐优秀应届本科毕业生免试攻读研究生工作实施办法》（浙大发本〔2021〕70号）、《关于进一步完善推荐优秀应届本科毕业生免试攻读研究生工作的通知》（浙大发本〔2023〕6号）和《浙江大学关于做好2026年推荐优秀应届本科毕业生免试攻读研究生工作的通知》等精神，结合学院实际，为做好地球科学学院2026年优秀应届本科生免试攻读研究生推荐工作，特制定本实施细则。</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一、工作小组</w:t>
      </w:r>
    </w:p>
    <w:p>
      <w:pPr>
        <w:spacing w:after="80" w:lineRule="auto" w:line="360"/>
        <w:ind w:firstLine="482"/>
        <w:jc w:val="both"/>
      </w:pPr>
      <w:r>
        <w:rPr>
          <w:rFonts w:ascii="Times New Roman" w:hAnsi="Times New Roman" w:eastAsia="宋体"/>
          <w:b w:val="0"/>
          <w:sz w:val="24"/>
        </w:rPr>
        <w:t>成立学院推免生遴选工作小组，全面负责学院推荐免试研究生遴选工作。</w:t>
      </w:r>
    </w:p>
    <w:p>
      <w:pPr>
        <w:spacing w:after="80" w:lineRule="auto" w:line="360"/>
        <w:ind w:firstLine="482"/>
        <w:jc w:val="both"/>
      </w:pPr>
      <w:r>
        <w:rPr>
          <w:rFonts w:ascii="Times New Roman" w:hAnsi="Times New Roman" w:eastAsia="宋体"/>
          <w:b w:val="0"/>
          <w:sz w:val="24"/>
        </w:rPr>
        <w:t>组长：杜震洪、钱智敢</w:t>
      </w:r>
    </w:p>
    <w:p>
      <w:pPr>
        <w:spacing w:after="80" w:lineRule="auto" w:line="360"/>
        <w:ind w:firstLine="482"/>
        <w:jc w:val="both"/>
      </w:pPr>
      <w:r>
        <w:rPr>
          <w:rFonts w:ascii="Times New Roman" w:hAnsi="Times New Roman" w:eastAsia="宋体"/>
          <w:b w:val="0"/>
          <w:sz w:val="24"/>
        </w:rPr>
        <w:t>副组长：杨蓉、郭鹏越、张宝华</w:t>
      </w:r>
    </w:p>
    <w:p>
      <w:pPr>
        <w:spacing w:after="80" w:lineRule="auto" w:line="360"/>
        <w:ind w:firstLine="482"/>
        <w:jc w:val="both"/>
      </w:pPr>
      <w:r>
        <w:rPr>
          <w:rFonts w:ascii="Times New Roman" w:hAnsi="Times New Roman" w:eastAsia="宋体"/>
          <w:b w:val="0"/>
          <w:sz w:val="24"/>
        </w:rPr>
        <w:t>成员：张丰、舒守娟、何毓新、邓素清、尹启航、姜俊辉、万思蔚</w:t>
      </w:r>
    </w:p>
    <w:p>
      <w:pPr>
        <w:spacing w:after="80" w:lineRule="auto" w:line="360"/>
        <w:ind w:firstLine="482"/>
        <w:jc w:val="both"/>
      </w:pPr>
      <w:r>
        <w:rPr>
          <w:rFonts w:ascii="Times New Roman" w:hAnsi="Times New Roman" w:eastAsia="宋体"/>
          <w:b w:val="0"/>
          <w:sz w:val="24"/>
        </w:rPr>
        <w:t>申诉联系人：方老师 0571-87951336 dilith@zju.edu.cn</w:t>
      </w:r>
    </w:p>
    <w:p>
      <w:pPr>
        <w:spacing w:before="160" w:after="80" w:lineRule="auto" w:line="360"/>
        <w:jc w:val="left"/>
      </w:pPr>
      <w:r>
        <w:rPr>
          <w:rFonts w:ascii="Times New Roman" w:hAnsi="Times New Roman" w:eastAsia="宋体"/>
          <w:b/>
          <w:sz w:val="28"/>
        </w:rPr>
        <w:t>二、推免遴选原则</w:t>
      </w:r>
    </w:p>
    <w:p>
      <w:pPr>
        <w:spacing w:after="80" w:lineRule="auto" w:line="360"/>
        <w:ind w:firstLine="482"/>
        <w:jc w:val="both"/>
      </w:pPr>
      <w:r>
        <w:rPr>
          <w:rFonts w:ascii="Times New Roman" w:hAnsi="Times New Roman" w:eastAsia="宋体"/>
          <w:b w:val="0"/>
          <w:sz w:val="24"/>
        </w:rPr>
        <w:t>坚持以提高选拔质量为核心，全面考查、综合评价、择优选拔的评价体系和工作机制，突出能力考查，把学生思想品德考核作为推免生遴选的首要内容。强化对学生科研创新潜质和专业能力倾向的考核。坚持贯彻公平、公正、公开、择优推荐的原则。</w:t>
      </w:r>
    </w:p>
    <w:p>
      <w:pPr>
        <w:spacing w:before="160" w:after="80" w:lineRule="auto" w:line="360"/>
        <w:jc w:val="left"/>
      </w:pPr>
      <w:r>
        <w:rPr>
          <w:rFonts w:ascii="Times New Roman" w:hAnsi="Times New Roman" w:eastAsia="宋体"/>
          <w:b/>
          <w:sz w:val="28"/>
        </w:rPr>
        <w:t>三、推免对象和基本要求</w:t>
      </w:r>
    </w:p>
    <w:p>
      <w:pPr>
        <w:spacing w:after="80" w:lineRule="auto" w:line="360"/>
        <w:ind w:firstLine="482"/>
        <w:jc w:val="both"/>
      </w:pPr>
      <w:r>
        <w:rPr>
          <w:rFonts w:ascii="Times New Roman" w:hAnsi="Times New Roman" w:eastAsia="宋体"/>
          <w:b w:val="0"/>
          <w:sz w:val="24"/>
        </w:rPr>
        <w:t>推免生对象为学院全日制应届本科毕业生（含申请提前毕业的学生），并满足如下基本要求：</w:t>
      </w:r>
    </w:p>
    <w:p>
      <w:pPr>
        <w:spacing w:after="80" w:lineRule="auto" w:line="360"/>
        <w:ind w:firstLine="482"/>
        <w:jc w:val="both"/>
      </w:pPr>
      <w:r>
        <w:rPr>
          <w:rFonts w:ascii="Times New Roman" w:hAnsi="Times New Roman" w:eastAsia="宋体"/>
          <w:b w:val="0"/>
          <w:sz w:val="24"/>
        </w:rPr>
        <w:t>1. 思想品德（含政治态度、思想表现、道德品质等方面）考核合格，身心健康；</w:t>
      </w:r>
    </w:p>
    <w:p>
      <w:pPr>
        <w:spacing w:after="80" w:lineRule="auto" w:line="360"/>
        <w:ind w:firstLine="482"/>
        <w:jc w:val="both"/>
      </w:pPr>
      <w:r>
        <w:rPr>
          <w:rFonts w:ascii="Times New Roman" w:hAnsi="Times New Roman" w:eastAsia="宋体"/>
          <w:b w:val="0"/>
          <w:sz w:val="24"/>
        </w:rPr>
        <w:t>2. 具有较强的创新意识和专业研究能力，学习刻苦、勤奋、成绩优秀；</w:t>
      </w:r>
    </w:p>
    <w:p>
      <w:pPr>
        <w:spacing w:after="80" w:lineRule="auto" w:line="360"/>
        <w:ind w:firstLine="482"/>
        <w:jc w:val="both"/>
      </w:pPr>
      <w:r>
        <w:rPr>
          <w:rFonts w:ascii="Times New Roman" w:hAnsi="Times New Roman" w:eastAsia="宋体"/>
          <w:b w:val="0"/>
          <w:sz w:val="24"/>
        </w:rPr>
        <w:t>3. 按教学计划修读，毕业要求总学分中未修学分不超过35学分；应修未修的必修课程数原则上不超过1门；经学院初审，原则上按正常专业学制年限能预期毕业；</w:t>
      </w:r>
    </w:p>
    <w:p>
      <w:pPr>
        <w:spacing w:after="80" w:lineRule="auto" w:line="360"/>
        <w:ind w:firstLine="482"/>
        <w:jc w:val="both"/>
      </w:pPr>
      <w:r>
        <w:rPr>
          <w:rFonts w:ascii="Times New Roman" w:hAnsi="Times New Roman" w:eastAsia="宋体"/>
          <w:b w:val="0"/>
          <w:sz w:val="24"/>
        </w:rPr>
        <w:t>4. 外语水平优秀，已通过英语水平测试。</w:t>
      </w:r>
    </w:p>
    <w:p>
      <w:pPr>
        <w:spacing w:before="160" w:after="80" w:lineRule="auto" w:line="360"/>
        <w:jc w:val="left"/>
      </w:pPr>
      <w:r>
        <w:rPr>
          <w:rFonts w:ascii="Times New Roman" w:hAnsi="Times New Roman" w:eastAsia="宋体"/>
          <w:b/>
          <w:sz w:val="28"/>
        </w:rPr>
        <w:t>四、推荐名额分配办法</w:t>
      </w:r>
    </w:p>
    <w:p>
      <w:pPr>
        <w:spacing w:after="80" w:lineRule="auto" w:line="360"/>
        <w:ind w:firstLine="482"/>
        <w:jc w:val="both"/>
      </w:pPr>
      <w:r>
        <w:rPr>
          <w:rFonts w:ascii="Times New Roman" w:hAnsi="Times New Roman" w:eastAsia="宋体"/>
          <w:b w:val="0"/>
          <w:sz w:val="24"/>
        </w:rPr>
        <w:t>根据学校名额分配原则和学科建设需要分配各专业名额。竺院学生按竺可桢学院培养要求，单独排序。</w:t>
      </w:r>
    </w:p>
    <w:p>
      <w:pPr>
        <w:spacing w:before="160" w:after="80" w:lineRule="auto" w:line="360"/>
        <w:jc w:val="left"/>
      </w:pPr>
      <w:r>
        <w:rPr>
          <w:rFonts w:ascii="Times New Roman" w:hAnsi="Times New Roman" w:eastAsia="宋体"/>
          <w:b/>
          <w:sz w:val="28"/>
        </w:rPr>
        <w:t>五、推免生遴选办法</w:t>
      </w:r>
    </w:p>
    <w:p>
      <w:pPr>
        <w:spacing w:after="80" w:lineRule="auto" w:line="360"/>
        <w:ind w:firstLine="482"/>
        <w:jc w:val="both"/>
      </w:pPr>
      <w:r>
        <w:rPr>
          <w:rFonts w:ascii="Times New Roman" w:hAnsi="Times New Roman" w:eastAsia="宋体"/>
          <w:b w:val="0"/>
          <w:sz w:val="24"/>
        </w:rPr>
        <w:t>推免评价包括思想品德评价和综合评价。思想品德评价由学工办评定，分为合格和不合格两个等级，不合格者无推免资格。综合评价包括学业评价和素质评价，各专业对推免生人选进行综合评价成绩排名，根据综合评价成绩排名依次遴选。</w:t>
      </w:r>
    </w:p>
    <w:p>
      <w:pPr>
        <w:spacing w:after="80" w:lineRule="auto" w:line="360"/>
        <w:ind w:firstLine="482"/>
        <w:jc w:val="both"/>
      </w:pPr>
      <w:r>
        <w:rPr>
          <w:rFonts w:ascii="Times New Roman" w:hAnsi="Times New Roman" w:eastAsia="宋体"/>
          <w:b w:val="0"/>
          <w:sz w:val="24"/>
        </w:rPr>
        <w:t>1. 综合评价成绩计算方式：</w:t>
      </w:r>
    </w:p>
    <w:p>
      <w:pPr>
        <w:spacing w:after="80" w:lineRule="auto" w:line="360"/>
        <w:ind w:firstLine="482"/>
        <w:jc w:val="both"/>
      </w:pPr>
      <w:r>
        <w:rPr>
          <w:rFonts w:ascii="Times New Roman" w:hAnsi="Times New Roman" w:eastAsia="宋体"/>
          <w:b w:val="0"/>
          <w:sz w:val="24"/>
        </w:rPr>
        <w:t>主修专业课程累计平均绩点×70％（其中主修专业课程中的核心课程为1.2权重系数）＋所有课程累计平均绩点×30％＋素质评价成绩。</w:t>
      </w:r>
    </w:p>
    <w:p>
      <w:pPr>
        <w:spacing w:after="80" w:lineRule="auto" w:line="360"/>
        <w:ind w:firstLine="482"/>
        <w:jc w:val="both"/>
      </w:pPr>
      <w:r>
        <w:rPr>
          <w:rFonts w:ascii="Times New Roman" w:hAnsi="Times New Roman" w:eastAsia="宋体"/>
          <w:b w:val="0"/>
          <w:sz w:val="24"/>
        </w:rPr>
        <w:t>2. 素质评价成绩规定：</w:t>
      </w:r>
    </w:p>
    <w:p>
      <w:pPr>
        <w:spacing w:after="80" w:lineRule="auto" w:line="360"/>
        <w:ind w:firstLine="482"/>
        <w:jc w:val="both"/>
      </w:pPr>
      <w:r>
        <w:rPr>
          <w:rFonts w:ascii="Times New Roman" w:hAnsi="Times New Roman" w:eastAsia="宋体"/>
          <w:b w:val="0"/>
          <w:sz w:val="24"/>
        </w:rPr>
        <w:t>素质评价范围包括科研成果、竞赛获奖、参军入伍服兵役、社会服务等符合全面发展导向的因素，素质评价成绩上限为1.0。在浙江大学求学期间：</w:t>
      </w:r>
    </w:p>
    <w:p>
      <w:pPr>
        <w:spacing w:after="80" w:lineRule="auto" w:line="360"/>
        <w:ind w:firstLine="482"/>
        <w:jc w:val="both"/>
      </w:pPr>
      <w:r>
        <w:rPr>
          <w:rFonts w:ascii="Times New Roman" w:hAnsi="Times New Roman" w:eastAsia="宋体"/>
          <w:b w:val="0"/>
          <w:sz w:val="24"/>
        </w:rPr>
        <w:t>2.1 科研成果。原则上以第一作者并以浙江大学为第一单位发表的与学业相关科研期刊论文（含录用）；其中，权威期刊论文及以上，每篇加分0.2；核心期刊论文，每篇加分0.1。该项加分不超过0.3。</w:t>
      </w:r>
    </w:p>
    <w:p>
      <w:pPr>
        <w:spacing w:after="80" w:lineRule="auto" w:line="360"/>
        <w:ind w:firstLine="482"/>
        <w:jc w:val="both"/>
      </w:pPr>
      <w:r>
        <w:rPr>
          <w:rFonts w:ascii="Times New Roman" w:hAnsi="Times New Roman" w:eastAsia="宋体"/>
          <w:b w:val="0"/>
          <w:sz w:val="24"/>
        </w:rPr>
        <w:t>2.2 学科竞赛获奖。依据《浙江大学本科生学科竞赛管理办法》（浙大本发〔2021〕20号）执行。原则上仅对获奖团队自然排名前三的本科生给予素质评价加分奖励，其中第一完成人权重1.0，第二完成人权重0.9，第三完成人权重0.8。</w:t>
      </w:r>
    </w:p>
    <w:p>
      <w:pPr>
        <w:spacing w:after="80" w:lineRule="auto" w:line="360"/>
        <w:ind w:firstLine="482"/>
        <w:jc w:val="both"/>
      </w:pPr>
      <w:r>
        <w:rPr>
          <w:rFonts w:ascii="Times New Roman" w:hAnsi="Times New Roman" w:eastAsia="宋体"/>
          <w:b w:val="0"/>
          <w:sz w:val="24"/>
        </w:rPr>
        <w:t>在中国“互联网+”大学生创新创业大赛、“挑战杯”中国大学生创业计划大赛、“挑战杯”全国大学生课外学术科技作品竞赛（以下简称：“三大赛”）中，代表浙江大学参赛并获得三等奖(铜奖)及以上奖项且团队自然排名前三的，国赛由学校确定加分分值，见表1。</w:t>
      </w:r>
    </w:p>
    <w:p>
      <w:pPr>
        <w:spacing w:after="80" w:lineRule="auto" w:line="360"/>
        <w:ind w:firstLine="482"/>
        <w:jc w:val="both"/>
      </w:pPr>
      <w:r>
        <w:rPr>
          <w:rFonts w:ascii="Times New Roman" w:hAnsi="Times New Roman" w:eastAsia="宋体"/>
          <w:b w:val="0"/>
          <w:sz w:val="24"/>
        </w:rPr>
        <w:t>表1.“三大赛”国赛加分分值</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金奖</w:t>
            </w:r>
          </w:p>
        </w:tc>
        <w:tc>
          <w:tcPr>
            <w:tcW w:type="dxa" w:w="2158"/>
          </w:tcPr>
          <w:p>
            <w:pPr>
              <w:spacing w:after="20" w:before="20"/>
            </w:pPr>
            <w:r/>
            <w:r>
              <w:rPr>
                <w:rFonts w:ascii="Times New Roman" w:hAnsi="Times New Roman" w:eastAsia="宋体"/>
                <w:b/>
                <w:sz w:val="21"/>
              </w:rPr>
              <w:t>银奖</w:t>
            </w:r>
          </w:p>
        </w:tc>
        <w:tc>
          <w:tcPr>
            <w:tcW w:type="dxa" w:w="2158"/>
          </w:tcPr>
          <w:p>
            <w:pPr>
              <w:spacing w:after="20" w:before="20"/>
            </w:pPr>
            <w:r/>
            <w:r>
              <w:rPr>
                <w:rFonts w:ascii="Times New Roman" w:hAnsi="Times New Roman" w:eastAsia="宋体"/>
                <w:b/>
                <w:sz w:val="21"/>
              </w:rPr>
              <w:t>铜奖</w:t>
            </w:r>
          </w:p>
        </w:tc>
      </w:tr>
      <w:tr>
        <w:tc>
          <w:tcPr>
            <w:tcW w:type="dxa" w:w="2158"/>
          </w:tcPr>
          <w:p>
            <w:pPr>
              <w:spacing w:after="20" w:before="20"/>
            </w:pPr>
            <w:r/>
            <w:r>
              <w:rPr>
                <w:rFonts w:ascii="Times New Roman" w:hAnsi="Times New Roman" w:eastAsia="宋体"/>
                <w:b w:val="0"/>
                <w:sz w:val="21"/>
              </w:rPr>
              <w:t>中国“互联网+”大学生创新创业大赛</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0.7</w:t>
            </w:r>
          </w:p>
        </w:tc>
        <w:tc>
          <w:tcPr>
            <w:tcW w:type="dxa" w:w="2158"/>
          </w:tcPr>
          <w:p>
            <w:pPr>
              <w:spacing w:after="20" w:before="20"/>
            </w:pPr>
            <w:r/>
            <w:r>
              <w:rPr>
                <w:rFonts w:ascii="Times New Roman" w:hAnsi="Times New Roman" w:eastAsia="宋体"/>
                <w:b w:val="0"/>
                <w:sz w:val="21"/>
              </w:rPr>
              <w:t>0.5</w:t>
            </w:r>
          </w:p>
        </w:tc>
      </w:tr>
      <w:tr>
        <w:tc>
          <w:tcPr>
            <w:tcW w:type="dxa" w:w="2158"/>
          </w:tcPr>
          <w:p>
            <w:pPr>
              <w:spacing w:after="20" w:before="20"/>
            </w:pPr>
            <w:r/>
            <w:r>
              <w:rPr>
                <w:rFonts w:ascii="Times New Roman" w:hAnsi="Times New Roman" w:eastAsia="宋体"/>
                <w:b w:val="0"/>
                <w:sz w:val="21"/>
              </w:rPr>
              <w:t>“挑战杯”中国大学生创业计划大赛</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0.7</w:t>
            </w:r>
          </w:p>
        </w:tc>
        <w:tc>
          <w:tcPr>
            <w:tcW w:type="dxa" w:w="2158"/>
          </w:tcPr>
          <w:p>
            <w:pPr>
              <w:spacing w:after="20" w:before="20"/>
            </w:pPr>
            <w:r/>
            <w:r>
              <w:rPr>
                <w:rFonts w:ascii="Times New Roman" w:hAnsi="Times New Roman" w:eastAsia="宋体"/>
                <w:b w:val="0"/>
                <w:sz w:val="21"/>
              </w:rPr>
              <w:t>0.5</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竞赛名称</w:t>
            </w:r>
          </w:p>
        </w:tc>
        <w:tc>
          <w:tcPr>
            <w:tcW w:type="dxa" w:w="1727"/>
          </w:tcPr>
          <w:p>
            <w:pPr>
              <w:spacing w:after="20" w:before="20"/>
            </w:pPr>
            <w:r/>
            <w:r>
              <w:rPr>
                <w:rFonts w:ascii="Times New Roman" w:hAnsi="Times New Roman" w:eastAsia="宋体"/>
                <w:b/>
                <w:sz w:val="21"/>
              </w:rPr>
              <w:t>特等奖</w:t>
            </w:r>
          </w:p>
        </w:tc>
        <w:tc>
          <w:tcPr>
            <w:tcW w:type="dxa" w:w="1727"/>
          </w:tcPr>
          <w:p>
            <w:pPr>
              <w:spacing w:after="20" w:before="20"/>
            </w:pPr>
            <w:r/>
            <w:r>
              <w:rPr>
                <w:rFonts w:ascii="Times New Roman" w:hAnsi="Times New Roman" w:eastAsia="宋体"/>
                <w:b/>
                <w:sz w:val="21"/>
              </w:rPr>
              <w:t>一等奖</w:t>
            </w:r>
          </w:p>
        </w:tc>
        <w:tc>
          <w:tcPr>
            <w:tcW w:type="dxa" w:w="1727"/>
          </w:tcPr>
          <w:p>
            <w:pPr>
              <w:spacing w:after="20" w:before="20"/>
            </w:pPr>
            <w:r/>
            <w:r>
              <w:rPr>
                <w:rFonts w:ascii="Times New Roman" w:hAnsi="Times New Roman" w:eastAsia="宋体"/>
                <w:b/>
                <w:sz w:val="21"/>
              </w:rPr>
              <w:t>二等奖</w:t>
            </w:r>
          </w:p>
        </w:tc>
        <w:tc>
          <w:tcPr>
            <w:tcW w:type="dxa" w:w="1727"/>
          </w:tcPr>
          <w:p>
            <w:pPr>
              <w:spacing w:after="20" w:before="20"/>
            </w:pPr>
            <w:r/>
            <w:r>
              <w:rPr>
                <w:rFonts w:ascii="Times New Roman" w:hAnsi="Times New Roman" w:eastAsia="宋体"/>
                <w:b/>
                <w:sz w:val="21"/>
              </w:rPr>
              <w:t>三等奖</w:t>
            </w:r>
          </w:p>
        </w:tc>
      </w:tr>
      <w:tr>
        <w:tc>
          <w:tcPr>
            <w:tcW w:type="dxa" w:w="1727"/>
          </w:tcPr>
          <w:p>
            <w:pPr>
              <w:spacing w:after="20" w:before="20"/>
            </w:pPr>
            <w:r/>
            <w:r>
              <w:rPr>
                <w:rFonts w:ascii="Times New Roman" w:hAnsi="Times New Roman" w:eastAsia="宋体"/>
                <w:b w:val="0"/>
                <w:sz w:val="21"/>
              </w:rPr>
              <w:t>“挑战杯”全国大学生课外学术科技作品竞赛</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0.7</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0.3</w:t>
            </w:r>
          </w:p>
        </w:tc>
      </w:tr>
    </w:tbl>
    <w:p>
      <w:pPr>
        <w:spacing w:after="80" w:lineRule="auto" w:line="360"/>
        <w:ind w:firstLine="482"/>
        <w:jc w:val="both"/>
      </w:pPr>
      <w:r>
        <w:rPr>
          <w:rFonts w:ascii="Times New Roman" w:hAnsi="Times New Roman" w:eastAsia="宋体"/>
          <w:b w:val="0"/>
          <w:sz w:val="24"/>
        </w:rPr>
        <w:t>备注：团队自然排名第一乘以系数1，第二乘以系数0.9，第三乘以系数0.8</w:t>
      </w:r>
    </w:p>
    <w:p>
      <w:pPr>
        <w:spacing w:after="80" w:lineRule="auto" w:line="360"/>
        <w:ind w:firstLine="482"/>
        <w:jc w:val="both"/>
      </w:pPr>
      <w:r>
        <w:rPr>
          <w:rFonts w:ascii="Times New Roman" w:hAnsi="Times New Roman" w:eastAsia="宋体"/>
          <w:b w:val="0"/>
          <w:sz w:val="24"/>
        </w:rPr>
        <w:t>“三大赛”省赛、校赛，以及其他学科竞赛，加分分值参照表2。</w:t>
      </w:r>
    </w:p>
    <w:p>
      <w:pPr>
        <w:spacing w:after="80" w:lineRule="auto" w:line="360"/>
        <w:ind w:firstLine="482"/>
        <w:jc w:val="both"/>
      </w:pPr>
      <w:r>
        <w:rPr>
          <w:rFonts w:ascii="Times New Roman" w:hAnsi="Times New Roman" w:eastAsia="宋体"/>
          <w:b w:val="0"/>
          <w:sz w:val="24"/>
        </w:rPr>
        <w:t>表2.学科竞赛加分分值</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竞赛等级</w:t>
            </w:r>
          </w:p>
        </w:tc>
        <w:tc>
          <w:tcPr>
            <w:tcW w:type="dxa" w:w="4317"/>
          </w:tcPr>
          <w:p>
            <w:pPr>
              <w:spacing w:after="20" w:before="20"/>
            </w:pPr>
            <w:r/>
            <w:r>
              <w:rPr>
                <w:rFonts w:ascii="Times New Roman" w:hAnsi="Times New Roman" w:eastAsia="宋体"/>
                <w:b/>
                <w:sz w:val="21"/>
              </w:rPr>
              <w:t>加分标准</w:t>
            </w:r>
          </w:p>
        </w:tc>
      </w:tr>
      <w:tr>
        <w:tc>
          <w:tcPr>
            <w:tcW w:type="dxa" w:w="4317"/>
          </w:tcPr>
          <w:p>
            <w:pPr>
              <w:spacing w:after="20" w:before="20"/>
            </w:pPr>
            <w:r/>
            <w:r>
              <w:rPr>
                <w:rFonts w:ascii="Times New Roman" w:hAnsi="Times New Roman" w:eastAsia="宋体"/>
                <w:b w:val="0"/>
                <w:sz w:val="21"/>
              </w:rPr>
              <w:t>国际、国家级学科竞赛</w:t>
            </w:r>
          </w:p>
        </w:tc>
        <w:tc>
          <w:tcPr>
            <w:tcW w:type="dxa" w:w="4317"/>
          </w:tcPr>
          <w:p>
            <w:pPr>
              <w:spacing w:after="20" w:before="20"/>
            </w:pPr>
            <w:r/>
            <w:r>
              <w:rPr>
                <w:rFonts w:ascii="Times New Roman" w:hAnsi="Times New Roman" w:eastAsia="宋体"/>
                <w:b w:val="0"/>
                <w:sz w:val="21"/>
              </w:rPr>
              <w:t>第一层级奖加分0.3，第二层级奖加分0.2，第三层级奖加分0.1，第四层级奖或参与奖加分0.05</w:t>
            </w:r>
          </w:p>
        </w:tc>
      </w:tr>
      <w:tr>
        <w:tc>
          <w:tcPr>
            <w:tcW w:type="dxa" w:w="4317"/>
          </w:tcPr>
          <w:p>
            <w:pPr>
              <w:spacing w:after="20" w:before="20"/>
            </w:pPr>
            <w:r/>
            <w:r>
              <w:rPr>
                <w:rFonts w:ascii="Times New Roman" w:hAnsi="Times New Roman" w:eastAsia="宋体"/>
                <w:b w:val="0"/>
                <w:sz w:val="21"/>
              </w:rPr>
              <w:t>省（部）级学科竞赛</w:t>
            </w:r>
          </w:p>
        </w:tc>
        <w:tc>
          <w:tcPr>
            <w:tcW w:type="dxa" w:w="4317"/>
          </w:tcPr>
          <w:p>
            <w:pPr>
              <w:spacing w:after="20" w:before="20"/>
            </w:pPr>
            <w:r/>
            <w:r>
              <w:rPr>
                <w:rFonts w:ascii="Times New Roman" w:hAnsi="Times New Roman" w:eastAsia="宋体"/>
                <w:b w:val="0"/>
                <w:sz w:val="21"/>
              </w:rPr>
              <w:t>第一层级奖加分0.15，第二层级奖加分0.1，第三层级奖加分0.05</w:t>
            </w:r>
          </w:p>
        </w:tc>
      </w:tr>
      <w:tr>
        <w:tc>
          <w:tcPr>
            <w:tcW w:type="dxa" w:w="4317"/>
          </w:tcPr>
          <w:p>
            <w:pPr>
              <w:spacing w:after="20" w:before="20"/>
            </w:pPr>
            <w:r/>
            <w:r>
              <w:rPr>
                <w:rFonts w:ascii="Times New Roman" w:hAnsi="Times New Roman" w:eastAsia="宋体"/>
                <w:b w:val="0"/>
                <w:sz w:val="21"/>
              </w:rPr>
              <w:t>其他行业比赛（竞赛）</w:t>
            </w:r>
          </w:p>
        </w:tc>
        <w:tc>
          <w:tcPr>
            <w:tcW w:type="dxa" w:w="4317"/>
          </w:tcPr>
          <w:p>
            <w:pPr>
              <w:spacing w:after="20" w:before="20"/>
            </w:pPr>
            <w:r/>
            <w:r>
              <w:rPr>
                <w:rFonts w:ascii="Times New Roman" w:hAnsi="Times New Roman" w:eastAsia="宋体"/>
                <w:b w:val="0"/>
                <w:sz w:val="21"/>
              </w:rPr>
              <w:t>第一层级奖加分0.05</w:t>
            </w:r>
          </w:p>
        </w:tc>
      </w:tr>
    </w:tbl>
    <w:p>
      <w:pPr>
        <w:spacing w:after="80" w:lineRule="auto" w:line="360"/>
        <w:ind w:firstLine="482"/>
        <w:jc w:val="both"/>
      </w:pPr>
      <w:r>
        <w:rPr>
          <w:rFonts w:ascii="Times New Roman" w:hAnsi="Times New Roman" w:eastAsia="宋体"/>
          <w:b w:val="0"/>
          <w:sz w:val="24"/>
        </w:rPr>
        <w:t>同一学生多次参加同一类竞赛获奖的，就高奖励一次，不累计加分。该项加分不超过0.3分（“三大赛”国赛加分除外）。</w:t>
      </w:r>
    </w:p>
    <w:p>
      <w:pPr>
        <w:spacing w:after="80" w:lineRule="auto" w:line="360"/>
        <w:ind w:firstLine="482"/>
        <w:jc w:val="both"/>
      </w:pPr>
      <w:r>
        <w:rPr>
          <w:rFonts w:ascii="Times New Roman" w:hAnsi="Times New Roman" w:eastAsia="宋体"/>
          <w:b w:val="0"/>
          <w:sz w:val="24"/>
        </w:rPr>
        <w:t>2.3 社会服务。担任相关部门正式聘任的校院两级学生会（学生组织）主席团（主任团）成员、兼职辅导员、兼职团委副书记、党支部书记、四星级及以上学生社团主要负责人一年及以上且考核合格的加分0.1；担任班长、团支书一年及以上且考核合格的加分0.05。</w:t>
      </w:r>
    </w:p>
    <w:p>
      <w:pPr>
        <w:spacing w:after="80" w:lineRule="auto" w:line="360"/>
        <w:ind w:firstLine="482"/>
        <w:jc w:val="both"/>
      </w:pPr>
      <w:r>
        <w:rPr>
          <w:rFonts w:ascii="Times New Roman" w:hAnsi="Times New Roman" w:eastAsia="宋体"/>
          <w:b w:val="0"/>
          <w:sz w:val="24"/>
        </w:rPr>
        <w:t>学校认定的五星级志愿者加分0.1。对本科期间有学校认定的四周及以上国际组织实习经历或者累计国际化志愿服务小时数≥250小时并有突出表现的学生（不包括国精班项目学生）加分0.1。该项加分累计不超过0.2分。</w:t>
      </w:r>
    </w:p>
    <w:p>
      <w:pPr>
        <w:spacing w:after="80" w:lineRule="auto" w:line="360"/>
        <w:ind w:firstLine="482"/>
        <w:jc w:val="both"/>
      </w:pPr>
      <w:r>
        <w:rPr>
          <w:rFonts w:ascii="Times New Roman" w:hAnsi="Times New Roman" w:eastAsia="宋体"/>
          <w:b w:val="0"/>
          <w:sz w:val="24"/>
        </w:rPr>
        <w:t>2.4</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