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法学院推荐2026届优秀应届本科毕业生免试攻读研究生工作的通知</w:t>
      </w:r>
    </w:p>
    <w:p>
      <w:pPr>
        <w:spacing w:line="360" w:lineRule="auto" w:before="0" w:after="80"/>
        <w:ind w:firstLine="482"/>
        <w:jc w:val="both"/>
      </w:pPr>
      <w:r>
        <w:rPr>
          <w:rFonts w:ascii="Times New Roman" w:hAnsi="Times New Roman" w:eastAsia="宋体"/>
          <w:b w:val="0"/>
          <w:sz w:val="24"/>
        </w:rPr>
        <w:t>根据《成都大学推荐2026届优秀应届本科毕业生免试攻读研究生工作实施办法》和《关于开展推荐2026届优秀本科毕业生免试攻读研究生工作的通知》，结合我院实际情况，现将我院2026届毕业生推免工作相关事宜通知如下：</w:t>
      </w:r>
    </w:p>
    <w:p>
      <w:pPr>
        <w:spacing w:line="360" w:lineRule="auto" w:before="160" w:after="80"/>
        <w:ind w:firstLine="0"/>
        <w:jc w:val="left"/>
      </w:pPr>
      <w:r>
        <w:rPr>
          <w:rFonts w:ascii="Times New Roman" w:hAnsi="Times New Roman" w:eastAsia="宋体"/>
          <w:b/>
          <w:sz w:val="28"/>
        </w:rPr>
        <w:t>一、组织机构</w:t>
      </w:r>
    </w:p>
    <w:p>
      <w:pPr>
        <w:spacing w:line="360" w:lineRule="auto" w:before="0" w:after="80"/>
        <w:ind w:firstLine="482"/>
        <w:jc w:val="both"/>
      </w:pPr>
      <w:r>
        <w:rPr>
          <w:rFonts w:ascii="Times New Roman" w:hAnsi="Times New Roman" w:eastAsia="宋体"/>
          <w:b w:val="0"/>
          <w:sz w:val="24"/>
        </w:rPr>
        <w:t>学院成立推免生遴选工作小组，制定本学院年度推免工作实施细则、确定各专业推免指标、组织开展推免生的考核和选拔、配合学校调查和处理推免工作中出现的违规违纪行为、研究决定推免工作中的其他重要事项；成立专家审核小组对申请推免资格学生的科研创新成果、竞赛奖项及内容等进行审核鉴定、组织相关学生进行公开答辩、给出明确的审核鉴定意见并签字存档；成立院级监督小组，对学院推免工作进行全程监督。</w:t>
      </w:r>
    </w:p>
    <w:p>
      <w:pPr>
        <w:spacing w:line="360" w:lineRule="auto" w:before="160" w:after="80"/>
        <w:ind w:firstLine="0"/>
        <w:jc w:val="left"/>
      </w:pPr>
      <w:r>
        <w:rPr>
          <w:rFonts w:ascii="Times New Roman" w:hAnsi="Times New Roman" w:eastAsia="宋体"/>
          <w:b/>
          <w:sz w:val="28"/>
        </w:rPr>
        <w:t>二、推荐条件</w:t>
      </w:r>
    </w:p>
    <w:p>
      <w:pPr>
        <w:spacing w:line="360" w:lineRule="auto" w:before="160" w:after="80"/>
        <w:ind w:firstLine="0"/>
        <w:jc w:val="left"/>
      </w:pPr>
      <w:r>
        <w:rPr>
          <w:rFonts w:ascii="Times New Roman" w:hAnsi="Times New Roman" w:eastAsia="宋体"/>
          <w:b/>
          <w:sz w:val="28"/>
        </w:rPr>
        <w:t>（一）基本条件</w:t>
      </w:r>
    </w:p>
    <w:p>
      <w:pPr>
        <w:spacing w:line="360" w:lineRule="auto" w:before="160" w:after="80"/>
        <w:ind w:firstLine="0"/>
        <w:jc w:val="left"/>
      </w:pPr>
      <w:r>
        <w:rPr>
          <w:rFonts w:ascii="Times New Roman" w:hAnsi="Times New Roman" w:eastAsia="宋体"/>
          <w:b/>
          <w:sz w:val="28"/>
        </w:rPr>
        <w:t>1. 纳入国家普通本科招生计划录取的应届毕业生（不含专升本、第二学士学位学生及国家政策不予推免的学生）；</w:t>
      </w:r>
    </w:p>
    <w:p>
      <w:pPr>
        <w:spacing w:line="360" w:lineRule="auto" w:before="160" w:after="80"/>
        <w:ind w:firstLine="0"/>
        <w:jc w:val="left"/>
      </w:pPr>
      <w:r>
        <w:rPr>
          <w:rFonts w:ascii="Times New Roman" w:hAnsi="Times New Roman" w:eastAsia="宋体"/>
          <w:b/>
          <w:sz w:val="28"/>
        </w:rPr>
        <w:t>2. 拥护中国共产党的领导，具有高尚的爱国主义情操和集体主义精神，社会主义信念坚定，社会责任感强，遵纪守法，积极向上，身心健康；</w:t>
      </w:r>
    </w:p>
    <w:p>
      <w:pPr>
        <w:spacing w:line="360" w:lineRule="auto" w:before="160" w:after="80"/>
        <w:ind w:firstLine="0"/>
        <w:jc w:val="left"/>
      </w:pPr>
      <w:r>
        <w:rPr>
          <w:rFonts w:ascii="Times New Roman" w:hAnsi="Times New Roman" w:eastAsia="宋体"/>
          <w:b/>
          <w:sz w:val="28"/>
        </w:rPr>
        <w:t>3. 勤奋学习，刻苦钻研，成绩优秀；学术研究兴趣浓厚，有较强的创新意识、创新能力和专业能力倾向；</w:t>
      </w:r>
    </w:p>
    <w:p>
      <w:pPr>
        <w:spacing w:line="360" w:lineRule="auto" w:before="160" w:after="80"/>
        <w:ind w:firstLine="0"/>
        <w:jc w:val="left"/>
      </w:pPr>
      <w:r>
        <w:rPr>
          <w:rFonts w:ascii="Times New Roman" w:hAnsi="Times New Roman" w:eastAsia="宋体"/>
          <w:b/>
          <w:sz w:val="28"/>
        </w:rPr>
        <w:t>4. 诚实守信，学风端正，无任何考试作弊和学术不端记录；品行表现优良，无尚未解除的纪律处分；思想品德考核不合格者不予推荐。</w:t>
      </w:r>
    </w:p>
    <w:p>
      <w:pPr>
        <w:spacing w:line="360" w:lineRule="auto" w:before="160" w:after="80"/>
        <w:ind w:firstLine="0"/>
        <w:jc w:val="left"/>
      </w:pPr>
      <w:r>
        <w:rPr>
          <w:rFonts w:ascii="Times New Roman" w:hAnsi="Times New Roman" w:eastAsia="宋体"/>
          <w:b/>
          <w:sz w:val="28"/>
        </w:rPr>
        <w:t>（二）学业条件</w:t>
      </w:r>
    </w:p>
    <w:p>
      <w:pPr>
        <w:spacing w:line="360" w:lineRule="auto" w:before="160" w:after="80"/>
        <w:ind w:firstLine="0"/>
        <w:jc w:val="left"/>
      </w:pPr>
      <w:r>
        <w:rPr>
          <w:rFonts w:ascii="Times New Roman" w:hAnsi="Times New Roman" w:eastAsia="宋体"/>
          <w:b/>
          <w:sz w:val="28"/>
        </w:rPr>
        <w:t>1. 学分条件。2025年8月31日前修读并获得本专业人才培养方案规定的前三学年全部必修学分。如因学校或学院更改教学计划导致必修课程未开设，不影响学生报名资格。</w:t>
      </w:r>
    </w:p>
    <w:p>
      <w:pPr>
        <w:spacing w:line="360" w:lineRule="auto" w:before="0" w:after="80"/>
        <w:ind w:firstLine="482"/>
        <w:jc w:val="both"/>
      </w:pPr>
      <w:r>
        <w:rPr>
          <w:rFonts w:ascii="Times New Roman" w:hAnsi="Times New Roman" w:eastAsia="宋体"/>
          <w:b w:val="0"/>
          <w:sz w:val="24"/>
        </w:rPr>
        <w:t>2. 成绩条件。所有课程初次考试成绩无不及格情况。前三学年本专业培养方案中所有必修课程成绩加权平均分在本年级专业排名前20%，课程成绩计算采用第一次修读的成绩，补考和重修成绩不用于推荐免试研究生的课程成绩计算。</w:t>
      </w:r>
    </w:p>
    <w:p>
      <w:pPr>
        <w:spacing w:line="360" w:lineRule="auto" w:before="0" w:after="80"/>
        <w:ind w:firstLine="482"/>
        <w:jc w:val="both"/>
      </w:pPr>
      <w:r>
        <w:rPr>
          <w:rFonts w:ascii="Times New Roman" w:hAnsi="Times New Roman" w:eastAsia="宋体"/>
          <w:b w:val="0"/>
          <w:sz w:val="24"/>
        </w:rPr>
        <w:t>3. 外语条件。非英语语种的非语言类学生大学外语平均成绩达到75分；其他本科学生全国大学生英语四级考试成绩达到425分及以上，或雅思5.5分及以上，或托福46分及以上。</w:t>
      </w:r>
    </w:p>
    <w:p>
      <w:pPr>
        <w:spacing w:line="360" w:lineRule="auto" w:before="160" w:after="80"/>
        <w:ind w:firstLine="0"/>
        <w:jc w:val="left"/>
      </w:pPr>
      <w:r>
        <w:rPr>
          <w:rFonts w:ascii="Times New Roman" w:hAnsi="Times New Roman" w:eastAsia="宋体"/>
          <w:b/>
          <w:sz w:val="28"/>
        </w:rPr>
        <w:t>三、推免指标</w:t>
      </w:r>
    </w:p>
    <w:p>
      <w:pPr>
        <w:spacing w:line="360" w:lineRule="auto" w:before="0" w:after="80"/>
        <w:ind w:firstLine="482"/>
        <w:jc w:val="both"/>
      </w:pPr>
      <w:r>
        <w:rPr>
          <w:rFonts w:ascii="Times New Roman" w:hAnsi="Times New Roman" w:eastAsia="宋体"/>
          <w:b w:val="0"/>
          <w:sz w:val="24"/>
        </w:rPr>
        <w:t>根据学校下达的推免指标，我院今年推荐2026届本科毕业生免试攻读研究生的名额为4名，各专业的推免指标见下表。候补人选指标数按推免指标数的50%计算（计算结果不足1人的按1人计）。若某一专业推免指标未用完，由学院推免生遴选工作小组在学院范围内统一调配。</w:t>
      </w:r>
    </w:p>
    <w:p>
      <w:pPr>
        <w:spacing w:line="360" w:lineRule="auto" w:before="120" w:after="60"/>
        <w:ind w:firstLine="0"/>
        <w:jc w:val="left"/>
      </w:pPr>
      <w:r>
        <w:rPr>
          <w:rFonts w:ascii="Times New Roman" w:hAnsi="Times New Roman" w:eastAsia="宋体"/>
          <w:b/>
          <w:sz w:val="24"/>
        </w:rPr>
        <w:t>专业</w:t>
      </w:r>
    </w:p>
    <w:p>
      <w:pPr>
        <w:spacing w:line="360" w:lineRule="auto" w:before="120" w:after="60"/>
        <w:ind w:firstLine="0"/>
        <w:jc w:val="left"/>
      </w:pPr>
      <w:r>
        <w:rPr>
          <w:rFonts w:ascii="Times New Roman" w:hAnsi="Times New Roman" w:eastAsia="宋体"/>
          <w:b/>
          <w:sz w:val="24"/>
        </w:rPr>
        <w:t>法学</w:t>
      </w:r>
    </w:p>
    <w:p>
      <w:pPr>
        <w:spacing w:line="360" w:lineRule="auto" w:before="120" w:after="60"/>
        <w:ind w:firstLine="0"/>
        <w:jc w:val="left"/>
      </w:pPr>
      <w:r>
        <w:rPr>
          <w:rFonts w:ascii="Times New Roman" w:hAnsi="Times New Roman" w:eastAsia="宋体"/>
          <w:b/>
          <w:sz w:val="24"/>
        </w:rPr>
        <w:t>社会工作</w:t>
      </w:r>
    </w:p>
    <w:p>
      <w:pPr>
        <w:spacing w:line="360" w:lineRule="auto" w:before="120" w:after="60"/>
        <w:ind w:firstLine="0"/>
        <w:jc w:val="left"/>
      </w:pPr>
      <w:r>
        <w:rPr>
          <w:rFonts w:ascii="Times New Roman" w:hAnsi="Times New Roman" w:eastAsia="宋体"/>
          <w:b/>
          <w:sz w:val="24"/>
        </w:rPr>
        <w:t>推荐名额</w:t>
      </w:r>
    </w:p>
    <w:p>
      <w:pPr>
        <w:spacing w:line="360" w:lineRule="auto" w:before="0" w:after="80"/>
        <w:ind w:firstLine="482"/>
        <w:jc w:val="both"/>
      </w:pPr>
      <w:r>
        <w:rPr>
          <w:rFonts w:ascii="Times New Roman" w:hAnsi="Times New Roman" w:eastAsia="宋体"/>
          <w:b w:val="0"/>
          <w:sz w:val="24"/>
        </w:rPr>
        <w:t>3</w:t>
      </w:r>
    </w:p>
    <w:p>
      <w:pPr>
        <w:spacing w:line="360" w:lineRule="auto" w:before="0" w:after="80"/>
        <w:ind w:firstLine="482"/>
        <w:jc w:val="both"/>
      </w:pPr>
      <w:r>
        <w:rPr>
          <w:rFonts w:ascii="Times New Roman" w:hAnsi="Times New Roman" w:eastAsia="宋体"/>
          <w:b w:val="0"/>
          <w:sz w:val="24"/>
        </w:rPr>
        <w:t>1</w:t>
      </w:r>
    </w:p>
    <w:p>
      <w:pPr>
        <w:spacing w:line="360" w:lineRule="auto" w:before="120" w:after="60"/>
        <w:ind w:firstLine="0"/>
        <w:jc w:val="left"/>
      </w:pPr>
      <w:r>
        <w:rPr>
          <w:rFonts w:ascii="Times New Roman" w:hAnsi="Times New Roman" w:eastAsia="宋体"/>
          <w:b/>
          <w:sz w:val="24"/>
        </w:rPr>
        <w:t>候补名额</w:t>
      </w:r>
    </w:p>
    <w:p>
      <w:pPr>
        <w:spacing w:line="360" w:lineRule="auto" w:before="0" w:after="80"/>
        <w:ind w:firstLine="482"/>
        <w:jc w:val="both"/>
      </w:pPr>
      <w:r>
        <w:rPr>
          <w:rFonts w:ascii="Times New Roman" w:hAnsi="Times New Roman" w:eastAsia="宋体"/>
          <w:b w:val="0"/>
          <w:sz w:val="24"/>
        </w:rPr>
        <w:t>2</w:t>
      </w:r>
    </w:p>
    <w:p>
      <w:pPr>
        <w:spacing w:line="360" w:lineRule="auto" w:before="0" w:after="80"/>
        <w:ind w:firstLine="482"/>
        <w:jc w:val="both"/>
      </w:pPr>
      <w:r>
        <w:rPr>
          <w:rFonts w:ascii="Times New Roman" w:hAnsi="Times New Roman" w:eastAsia="宋体"/>
          <w:b w:val="0"/>
          <w:sz w:val="24"/>
        </w:rPr>
        <w:t>1</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