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2026年心理学院推荐优秀应届本科毕业生免试攻读研究生工作公示</w:t>
      </w:r>
    </w:p>
    <w:p>
      <w:pPr>
        <w:spacing w:line="360" w:lineRule="auto" w:before="0" w:after="80"/>
        <w:ind w:firstLine="482"/>
        <w:jc w:val="both"/>
      </w:pPr>
      <w:r>
        <w:rPr>
          <w:rFonts w:ascii="Times New Roman" w:hAnsi="Times New Roman" w:eastAsia="宋体"/>
          <w:b w:val="0"/>
          <w:sz w:val="24"/>
        </w:rPr>
        <w:t>2026年心理学院推荐优秀应届本科毕业生免试攻读研究生工作公示</w:t>
      </w:r>
    </w:p>
    <w:p>
      <w:pPr>
        <w:spacing w:line="360" w:lineRule="auto" w:before="0" w:after="80"/>
        <w:ind w:firstLine="482"/>
        <w:jc w:val="both"/>
      </w:pPr>
      <w:r>
        <w:rPr>
          <w:rFonts w:ascii="Times New Roman" w:hAnsi="Times New Roman" w:eastAsia="宋体"/>
          <w:b w:val="0"/>
          <w:sz w:val="24"/>
        </w:rPr>
        <w:t>|来源：本科教育 |日期：2025-09-12 |访问量：</w:t>
      </w:r>
    </w:p>
    <w:p>
      <w:pPr>
        <w:spacing w:line="360" w:lineRule="auto" w:before="0" w:after="80"/>
        <w:ind w:firstLine="482"/>
        <w:jc w:val="both"/>
      </w:pPr>
      <w:r>
        <w:rPr>
          <w:rFonts w:ascii="Times New Roman" w:hAnsi="Times New Roman" w:eastAsia="宋体"/>
          <w:b w:val="0"/>
          <w:sz w:val="24"/>
        </w:rPr>
        <w:t>根据学校《关于做好2026年推荐优秀应届本科毕业生免试攻读研究生工作的通知》要求，由学生本人提出申请，经心理学院推荐优秀应届本科毕业生免试攻读硕士学位研究生工作小组集体评议，以下11名同学获得推免攻读硕士研究生的资格。现公示如下：</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学号后四位</w:t>
            </w:r>
          </w:p>
        </w:tc>
        <w:tc>
          <w:tcPr>
            <w:tcW w:type="dxa" w:w="4317"/>
          </w:tcPr>
          <w:p>
            <w:pPr>
              <w:jc w:val="center"/>
            </w:pPr>
            <w:r>
              <w:rPr>
                <w:rFonts w:ascii="Times New Roman" w:hAnsi="Times New Roman" w:eastAsia="宋体"/>
                <w:b/>
                <w:sz w:val="21"/>
              </w:rPr>
              <w:t>姓 名</w:t>
            </w:r>
          </w:p>
        </w:tc>
      </w:tr>
      <w:tr>
        <w:tc>
          <w:tcPr>
            <w:tcW w:type="dxa" w:w="4317"/>
          </w:tcPr>
          <w:p>
            <w:pPr>
              <w:jc w:val="center"/>
            </w:pPr>
            <w:r>
              <w:rPr>
                <w:rFonts w:ascii="Times New Roman" w:hAnsi="Times New Roman" w:eastAsia="宋体"/>
                <w:sz w:val="21"/>
              </w:rPr>
              <w:t>1021</w:t>
            </w:r>
          </w:p>
        </w:tc>
        <w:tc>
          <w:tcPr>
            <w:tcW w:type="dxa" w:w="4317"/>
          </w:tcPr>
          <w:p>
            <w:pPr>
              <w:jc w:val="center"/>
            </w:pPr>
            <w:r>
              <w:rPr>
                <w:rFonts w:ascii="Times New Roman" w:hAnsi="Times New Roman" w:eastAsia="宋体"/>
                <w:sz w:val="21"/>
              </w:rPr>
              <w:t>吴 珂</w:t>
            </w:r>
          </w:p>
        </w:tc>
      </w:tr>
      <w:tr>
        <w:tc>
          <w:tcPr>
            <w:tcW w:type="dxa" w:w="4317"/>
          </w:tcPr>
          <w:p>
            <w:pPr>
              <w:jc w:val="center"/>
            </w:pPr>
            <w:r>
              <w:rPr>
                <w:rFonts w:ascii="Times New Roman" w:hAnsi="Times New Roman" w:eastAsia="宋体"/>
                <w:sz w:val="21"/>
              </w:rPr>
              <w:t>1001</w:t>
            </w:r>
          </w:p>
        </w:tc>
        <w:tc>
          <w:tcPr>
            <w:tcW w:type="dxa" w:w="4317"/>
          </w:tcPr>
          <w:p>
            <w:pPr>
              <w:jc w:val="center"/>
            </w:pPr>
            <w:r>
              <w:rPr>
                <w:rFonts w:ascii="Times New Roman" w:hAnsi="Times New Roman" w:eastAsia="宋体"/>
                <w:sz w:val="21"/>
              </w:rPr>
              <w:t>陈靖炎</w:t>
            </w:r>
          </w:p>
        </w:tc>
      </w:tr>
      <w:tr>
        <w:tc>
          <w:tcPr>
            <w:tcW w:type="dxa" w:w="4317"/>
          </w:tcPr>
          <w:p>
            <w:pPr>
              <w:jc w:val="center"/>
            </w:pPr>
            <w:r>
              <w:rPr>
                <w:rFonts w:ascii="Times New Roman" w:hAnsi="Times New Roman" w:eastAsia="宋体"/>
                <w:sz w:val="21"/>
              </w:rPr>
              <w:t>1016</w:t>
            </w:r>
          </w:p>
        </w:tc>
        <w:tc>
          <w:tcPr>
            <w:tcW w:type="dxa" w:w="4317"/>
          </w:tcPr>
          <w:p>
            <w:pPr>
              <w:jc w:val="center"/>
            </w:pPr>
            <w:r>
              <w:rPr>
                <w:rFonts w:ascii="Times New Roman" w:hAnsi="Times New Roman" w:eastAsia="宋体"/>
                <w:sz w:val="21"/>
              </w:rPr>
              <w:t>王 辰</w:t>
            </w:r>
          </w:p>
        </w:tc>
      </w:tr>
      <w:tr>
        <w:tc>
          <w:tcPr>
            <w:tcW w:type="dxa" w:w="4317"/>
          </w:tcPr>
          <w:p>
            <w:pPr>
              <w:jc w:val="center"/>
            </w:pPr>
            <w:r>
              <w:rPr>
                <w:rFonts w:ascii="Times New Roman" w:hAnsi="Times New Roman" w:eastAsia="宋体"/>
                <w:sz w:val="21"/>
              </w:rPr>
              <w:t>1002</w:t>
            </w:r>
          </w:p>
        </w:tc>
        <w:tc>
          <w:tcPr>
            <w:tcW w:type="dxa" w:w="4317"/>
          </w:tcPr>
          <w:p>
            <w:pPr>
              <w:jc w:val="center"/>
            </w:pPr>
            <w:r>
              <w:rPr>
                <w:rFonts w:ascii="Times New Roman" w:hAnsi="Times New Roman" w:eastAsia="宋体"/>
                <w:sz w:val="21"/>
              </w:rPr>
              <w:t>程嘉仪</w:t>
            </w:r>
          </w:p>
        </w:tc>
      </w:tr>
      <w:tr>
        <w:tc>
          <w:tcPr>
            <w:tcW w:type="dxa" w:w="4317"/>
          </w:tcPr>
          <w:p>
            <w:pPr>
              <w:jc w:val="center"/>
            </w:pPr>
            <w:r>
              <w:rPr>
                <w:rFonts w:ascii="Times New Roman" w:hAnsi="Times New Roman" w:eastAsia="宋体"/>
                <w:sz w:val="21"/>
              </w:rPr>
              <w:t>1005</w:t>
            </w:r>
          </w:p>
        </w:tc>
        <w:tc>
          <w:tcPr>
            <w:tcW w:type="dxa" w:w="4317"/>
          </w:tcPr>
          <w:p>
            <w:pPr>
              <w:jc w:val="center"/>
            </w:pPr>
            <w:r>
              <w:rPr>
                <w:rFonts w:ascii="Times New Roman" w:hAnsi="Times New Roman" w:eastAsia="宋体"/>
                <w:sz w:val="21"/>
              </w:rPr>
              <w:t>郝伊诺</w:t>
            </w:r>
          </w:p>
        </w:tc>
      </w:tr>
      <w:tr>
        <w:tc>
          <w:tcPr>
            <w:tcW w:type="dxa" w:w="4317"/>
          </w:tcPr>
          <w:p>
            <w:pPr>
              <w:jc w:val="center"/>
            </w:pPr>
            <w:r>
              <w:rPr>
                <w:rFonts w:ascii="Times New Roman" w:hAnsi="Times New Roman" w:eastAsia="宋体"/>
                <w:sz w:val="21"/>
              </w:rPr>
              <w:t>1003</w:t>
            </w:r>
          </w:p>
        </w:tc>
        <w:tc>
          <w:tcPr>
            <w:tcW w:type="dxa" w:w="4317"/>
          </w:tcPr>
          <w:p>
            <w:pPr>
              <w:jc w:val="center"/>
            </w:pPr>
            <w:r>
              <w:rPr>
                <w:rFonts w:ascii="Times New Roman" w:hAnsi="Times New Roman" w:eastAsia="宋体"/>
                <w:sz w:val="21"/>
              </w:rPr>
              <w:t>桂 宇</w:t>
            </w:r>
          </w:p>
        </w:tc>
      </w:tr>
      <w:tr>
        <w:tc>
          <w:tcPr>
            <w:tcW w:type="dxa" w:w="4317"/>
          </w:tcPr>
          <w:p>
            <w:pPr>
              <w:jc w:val="center"/>
            </w:pPr>
            <w:r>
              <w:rPr>
                <w:rFonts w:ascii="Times New Roman" w:hAnsi="Times New Roman" w:eastAsia="宋体"/>
                <w:sz w:val="21"/>
              </w:rPr>
              <w:t>2048</w:t>
            </w:r>
          </w:p>
        </w:tc>
        <w:tc>
          <w:tcPr>
            <w:tcW w:type="dxa" w:w="4317"/>
          </w:tcPr>
          <w:p>
            <w:pPr>
              <w:jc w:val="center"/>
            </w:pPr>
            <w:r>
              <w:rPr>
                <w:rFonts w:ascii="Times New Roman" w:hAnsi="Times New Roman" w:eastAsia="宋体"/>
                <w:sz w:val="21"/>
              </w:rPr>
              <w:t>杨雨涵</w:t>
            </w:r>
          </w:p>
        </w:tc>
      </w:tr>
      <w:tr>
        <w:tc>
          <w:tcPr>
            <w:tcW w:type="dxa" w:w="4317"/>
          </w:tcPr>
          <w:p>
            <w:pPr>
              <w:jc w:val="center"/>
            </w:pPr>
            <w:r>
              <w:rPr>
                <w:rFonts w:ascii="Times New Roman" w:hAnsi="Times New Roman" w:eastAsia="宋体"/>
                <w:sz w:val="21"/>
              </w:rPr>
              <w:t>2035</w:t>
            </w:r>
          </w:p>
        </w:tc>
        <w:tc>
          <w:tcPr>
            <w:tcW w:type="dxa" w:w="4317"/>
          </w:tcPr>
          <w:p>
            <w:pPr>
              <w:jc w:val="center"/>
            </w:pPr>
            <w:r>
              <w:rPr>
                <w:rFonts w:ascii="Times New Roman" w:hAnsi="Times New Roman" w:eastAsia="宋体"/>
                <w:sz w:val="21"/>
              </w:rPr>
              <w:t>樊雪戎</w:t>
            </w:r>
          </w:p>
        </w:tc>
      </w:tr>
      <w:tr>
        <w:tc>
          <w:tcPr>
            <w:tcW w:type="dxa" w:w="4317"/>
          </w:tcPr>
          <w:p>
            <w:pPr>
              <w:jc w:val="center"/>
            </w:pPr>
            <w:r>
              <w:rPr>
                <w:rFonts w:ascii="Times New Roman" w:hAnsi="Times New Roman" w:eastAsia="宋体"/>
                <w:sz w:val="21"/>
              </w:rPr>
              <w:t>2052</w:t>
            </w:r>
          </w:p>
        </w:tc>
        <w:tc>
          <w:tcPr>
            <w:tcW w:type="dxa" w:w="4317"/>
          </w:tcPr>
          <w:p>
            <w:pPr>
              <w:jc w:val="center"/>
            </w:pPr>
            <w:r>
              <w:rPr>
                <w:rFonts w:ascii="Times New Roman" w:hAnsi="Times New Roman" w:eastAsia="宋体"/>
                <w:sz w:val="21"/>
              </w:rPr>
              <w:t>张 瑞</w:t>
            </w:r>
          </w:p>
        </w:tc>
      </w:tr>
      <w:tr>
        <w:tc>
          <w:tcPr>
            <w:tcW w:type="dxa" w:w="4317"/>
          </w:tcPr>
          <w:p>
            <w:pPr>
              <w:jc w:val="center"/>
            </w:pPr>
            <w:r>
              <w:rPr>
                <w:rFonts w:ascii="Times New Roman" w:hAnsi="Times New Roman" w:eastAsia="宋体"/>
                <w:sz w:val="21"/>
              </w:rPr>
              <w:t>2054</w:t>
            </w:r>
          </w:p>
        </w:tc>
        <w:tc>
          <w:tcPr>
            <w:tcW w:type="dxa" w:w="4317"/>
          </w:tcPr>
          <w:p>
            <w:pPr>
              <w:jc w:val="center"/>
            </w:pPr>
            <w:r>
              <w:rPr>
                <w:rFonts w:ascii="Times New Roman" w:hAnsi="Times New Roman" w:eastAsia="宋体"/>
                <w:sz w:val="21"/>
              </w:rPr>
              <w:t>周怡宁</w:t>
            </w:r>
          </w:p>
        </w:tc>
      </w:tr>
      <w:tr>
        <w:tc>
          <w:tcPr>
            <w:tcW w:type="dxa" w:w="4317"/>
          </w:tcPr>
          <w:p>
            <w:pPr>
              <w:jc w:val="center"/>
            </w:pPr>
            <w:r>
              <w:rPr>
                <w:rFonts w:ascii="Times New Roman" w:hAnsi="Times New Roman" w:eastAsia="宋体"/>
                <w:sz w:val="21"/>
              </w:rPr>
              <w:t>2051</w:t>
            </w:r>
          </w:p>
        </w:tc>
        <w:tc>
          <w:tcPr>
            <w:tcW w:type="dxa" w:w="4317"/>
          </w:tcPr>
          <w:p>
            <w:pPr>
              <w:jc w:val="center"/>
            </w:pPr>
            <w:r>
              <w:rPr>
                <w:rFonts w:ascii="Times New Roman" w:hAnsi="Times New Roman" w:eastAsia="宋体"/>
                <w:sz w:val="21"/>
              </w:rPr>
              <w:t>张金焕</w:t>
            </w:r>
          </w:p>
        </w:tc>
      </w:tr>
    </w:tbl>
    <w:p/>
    <w:p>
      <w:pPr>
        <w:spacing w:line="360" w:lineRule="auto" w:before="120" w:after="60"/>
        <w:ind w:firstLine="0"/>
        <w:jc w:val="left"/>
      </w:pPr>
      <w:r>
        <w:rPr>
          <w:rFonts w:ascii="Times New Roman" w:hAnsi="Times New Roman" w:eastAsia="宋体"/>
          <w:b/>
          <w:sz w:val="24"/>
        </w:rPr>
        <w:t>公示起止时间：9月12日——9月14日</w:t>
      </w:r>
    </w:p>
    <w:p>
      <w:pPr>
        <w:spacing w:line="360" w:lineRule="auto" w:before="0" w:after="80"/>
        <w:ind w:firstLine="482"/>
        <w:jc w:val="both"/>
      </w:pPr>
      <w:r>
        <w:rPr>
          <w:rFonts w:ascii="Times New Roman" w:hAnsi="Times New Roman" w:eastAsia="宋体"/>
          <w:b w:val="0"/>
          <w:sz w:val="24"/>
        </w:rPr>
        <w:t>如有疑议，请与心理学院教学副院长黄贤军（68909420）、党委副书记杨艳艳（68907930）联系。</w:t>
      </w:r>
    </w:p>
    <w:p>
      <w:pPr>
        <w:spacing w:line="360" w:lineRule="auto" w:before="120" w:after="60"/>
        <w:ind w:firstLine="0"/>
        <w:jc w:val="left"/>
      </w:pPr>
      <w:r>
        <w:rPr>
          <w:rFonts w:ascii="Times New Roman" w:hAnsi="Times New Roman" w:eastAsia="宋体"/>
          <w:b/>
          <w:sz w:val="24"/>
        </w:rPr>
        <w:t>心理学院</w:t>
      </w:r>
    </w:p>
    <w:p>
      <w:pPr>
        <w:spacing w:line="360" w:lineRule="auto" w:before="120" w:after="60"/>
        <w:ind w:firstLine="0"/>
        <w:jc w:val="left"/>
      </w:pPr>
      <w:r>
        <w:rPr>
          <w:rFonts w:ascii="Times New Roman" w:hAnsi="Times New Roman" w:eastAsia="宋体"/>
          <w:b/>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