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环境科学与工程学院2026届本科毕业生免试推荐研究生工作实施办法</w:t>
      </w:r>
    </w:p>
    <w:p>
      <w:pPr>
        <w:spacing w:after="80" w:lineRule="auto" w:line="360"/>
        <w:ind w:firstLine="482"/>
        <w:jc w:val="both"/>
      </w:pPr>
      <w:r>
        <w:rPr>
          <w:rFonts w:ascii="Times New Roman" w:hAnsi="Times New Roman" w:eastAsia="宋体"/>
          <w:b w:val="0"/>
          <w:sz w:val="24"/>
        </w:rPr>
        <w:t>根据学校本科生院《关于做好我校2026年推荐优秀应届本科毕业生免试攻读研究生工作的通知》（2025年9月12日发布）精神和我校推荐免试研究生相关规定，结合学院实际情况，制定环境科学与工程学院2026届本科毕业生免试推荐研究生工作实施办法。</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一、推免工作基本原则</w:t>
      </w:r>
    </w:p>
    <w:p>
      <w:pPr>
        <w:spacing w:after="80" w:lineRule="auto" w:line="360"/>
        <w:ind w:firstLine="482"/>
        <w:jc w:val="both"/>
      </w:pPr>
      <w:r>
        <w:rPr>
          <w:rFonts w:ascii="Times New Roman" w:hAnsi="Times New Roman" w:eastAsia="宋体"/>
          <w:b w:val="0"/>
          <w:sz w:val="24"/>
        </w:rPr>
        <w:t>1. 科学遴选原则</w:t>
      </w:r>
    </w:p>
    <w:p>
      <w:pPr>
        <w:spacing w:after="80" w:lineRule="auto" w:line="360"/>
        <w:ind w:firstLine="482"/>
        <w:jc w:val="both"/>
      </w:pPr>
      <w:r>
        <w:rPr>
          <w:rFonts w:ascii="Times New Roman" w:hAnsi="Times New Roman" w:eastAsia="宋体"/>
          <w:b w:val="0"/>
          <w:sz w:val="24"/>
        </w:rPr>
        <w:t>落实立德树人根本任务，坚持德智体美劳全面衡量，以德为先，把学生思想品德考核作为推免生遴选的首要依据，思想品德考核不合格者不予推荐；突出考查学生的一贯学业表现，加强学生本科阶段学习情况的过程性评价，将本科阶段学业综合成绩作为推免工作最基础的遴选指标，引导学生全面发展，综合评价学生各方面表现。</w:t>
      </w:r>
    </w:p>
    <w:p>
      <w:pPr>
        <w:spacing w:after="80" w:lineRule="auto" w:line="360"/>
        <w:ind w:firstLine="482"/>
        <w:jc w:val="both"/>
      </w:pPr>
      <w:r>
        <w:rPr>
          <w:rFonts w:ascii="Times New Roman" w:hAnsi="Times New Roman" w:eastAsia="宋体"/>
          <w:b w:val="0"/>
          <w:sz w:val="24"/>
        </w:rPr>
        <w:t>2. 集体决策原则</w:t>
      </w:r>
    </w:p>
    <w:p>
      <w:pPr>
        <w:spacing w:after="80" w:lineRule="auto" w:line="360"/>
        <w:ind w:firstLine="482"/>
        <w:jc w:val="both"/>
      </w:pPr>
      <w:r>
        <w:rPr>
          <w:rFonts w:ascii="Times New Roman" w:hAnsi="Times New Roman" w:eastAsia="宋体"/>
          <w:b w:val="0"/>
          <w:sz w:val="24"/>
        </w:rPr>
        <w:t>成立由学院主要负责人任组长、分管负责人任副组长、纪检委员参与的2026届推免生遴选工作组。学院主要负责人对推免招生工作亲自把关、亲自协调、亲自督查。</w:t>
      </w:r>
    </w:p>
    <w:p>
      <w:pPr>
        <w:spacing w:after="80" w:lineRule="auto" w:line="360"/>
        <w:ind w:firstLine="482"/>
        <w:jc w:val="both"/>
      </w:pPr>
      <w:r>
        <w:rPr>
          <w:rFonts w:ascii="Times New Roman" w:hAnsi="Times New Roman" w:eastAsia="宋体"/>
          <w:b w:val="0"/>
          <w:sz w:val="24"/>
        </w:rPr>
        <w:t>工作组组长：杨家宽</w:t>
      </w:r>
    </w:p>
    <w:p>
      <w:pPr>
        <w:spacing w:after="80" w:lineRule="auto" w:line="360"/>
        <w:ind w:firstLine="482"/>
        <w:jc w:val="both"/>
      </w:pPr>
      <w:r>
        <w:rPr>
          <w:rFonts w:ascii="Times New Roman" w:hAnsi="Times New Roman" w:eastAsia="宋体"/>
          <w:b w:val="0"/>
          <w:sz w:val="24"/>
        </w:rPr>
        <w:t>工作组副组长：侯慧杰、周雅琦、吴晓晖</w:t>
      </w:r>
    </w:p>
    <w:p>
      <w:pPr>
        <w:spacing w:after="80" w:lineRule="auto" w:line="360"/>
        <w:ind w:firstLine="482"/>
        <w:jc w:val="both"/>
      </w:pPr>
      <w:r>
        <w:rPr>
          <w:rFonts w:ascii="Times New Roman" w:hAnsi="Times New Roman" w:eastAsia="宋体"/>
          <w:b w:val="0"/>
          <w:sz w:val="24"/>
        </w:rPr>
        <w:t>工作组成员：王宗平、于靖华、郭利民、毛娟、李森、王飞飞、龚建宇、杨丹妮、周博坤、杨群、李必胜</w:t>
      </w:r>
    </w:p>
    <w:p>
      <w:pPr>
        <w:spacing w:after="80" w:lineRule="auto" w:line="360"/>
        <w:ind w:firstLine="482"/>
        <w:jc w:val="both"/>
      </w:pPr>
      <w:r>
        <w:rPr>
          <w:rFonts w:ascii="Times New Roman" w:hAnsi="Times New Roman" w:eastAsia="宋体"/>
          <w:b w:val="0"/>
          <w:sz w:val="24"/>
        </w:rPr>
        <w:t>成立推免生遴选工作监察组，对推免工作实行全程监督。</w:t>
      </w:r>
    </w:p>
    <w:p>
      <w:pPr>
        <w:spacing w:after="80" w:lineRule="auto" w:line="360"/>
        <w:ind w:firstLine="482"/>
        <w:jc w:val="both"/>
      </w:pPr>
      <w:r>
        <w:rPr>
          <w:rFonts w:ascii="Times New Roman" w:hAnsi="Times New Roman" w:eastAsia="宋体"/>
          <w:b w:val="0"/>
          <w:sz w:val="24"/>
        </w:rPr>
        <w:t>监察组组长：王松林</w:t>
      </w:r>
    </w:p>
    <w:p>
      <w:pPr>
        <w:spacing w:after="80" w:lineRule="auto" w:line="360"/>
        <w:ind w:firstLine="482"/>
        <w:jc w:val="both"/>
      </w:pPr>
      <w:r>
        <w:rPr>
          <w:rFonts w:ascii="Times New Roman" w:hAnsi="Times New Roman" w:eastAsia="宋体"/>
          <w:b w:val="0"/>
          <w:sz w:val="24"/>
        </w:rPr>
        <w:t>监察组副组长：冯晓楠</w:t>
      </w:r>
    </w:p>
    <w:p>
      <w:pPr>
        <w:spacing w:after="80" w:lineRule="auto" w:line="360"/>
        <w:ind w:firstLine="482"/>
        <w:jc w:val="both"/>
      </w:pPr>
      <w:r>
        <w:rPr>
          <w:rFonts w:ascii="Times New Roman" w:hAnsi="Times New Roman" w:eastAsia="宋体"/>
          <w:b w:val="0"/>
          <w:sz w:val="24"/>
        </w:rPr>
        <w:t>监察组成员：段华波、谢鹏超、刚文杰</w:t>
      </w:r>
    </w:p>
    <w:p>
      <w:pPr>
        <w:spacing w:after="80" w:lineRule="auto" w:line="360"/>
        <w:ind w:firstLine="482"/>
        <w:jc w:val="both"/>
      </w:pPr>
      <w:r>
        <w:rPr>
          <w:rFonts w:ascii="Times New Roman" w:hAnsi="Times New Roman" w:eastAsia="宋体"/>
          <w:b w:val="0"/>
          <w:sz w:val="24"/>
        </w:rPr>
        <w:t>3. 程序规范原则</w:t>
      </w:r>
    </w:p>
    <w:p>
      <w:pPr>
        <w:spacing w:after="80" w:lineRule="auto" w:line="360"/>
        <w:ind w:firstLine="482"/>
        <w:jc w:val="both"/>
      </w:pPr>
      <w:r>
        <w:rPr>
          <w:rFonts w:ascii="Times New Roman" w:hAnsi="Times New Roman" w:eastAsia="宋体"/>
          <w:b w:val="0"/>
          <w:sz w:val="24"/>
        </w:rPr>
        <w:t>按照国家和学校的相关政策，根据学院特点科学制订具体实施办法。由各系抽调专家成立审核小组，对申请推免资格学生的科研创新成果、竞赛奖项及内容进行审核鉴定，排除抄袭、造假、冒名及有名无实等情况，给出明确审核鉴定意见并签字存档。通过审核鉴定的须在本单位网站上予以公示，未通过的，不得纳入综合成绩计算。建立健全回避制度，本单位推免相关工作人员有直系亲属或利益相关人员报名参加学校推免的，应主动申请回避；有非直系亲属等报名参加推免的，应主动报备。相关学生申请推免资格时应主动报备。对未按规定报备的推免相关工作人员，将上报学校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4. 信息公开原则</w:t>
      </w:r>
    </w:p>
    <w:p>
      <w:pPr>
        <w:spacing w:after="80" w:lineRule="auto" w:line="360"/>
        <w:ind w:firstLine="482"/>
        <w:jc w:val="both"/>
      </w:pPr>
      <w:r>
        <w:rPr>
          <w:rFonts w:ascii="Times New Roman" w:hAnsi="Times New Roman" w:eastAsia="宋体"/>
          <w:b w:val="0"/>
          <w:sz w:val="24"/>
        </w:rPr>
        <w:t>在学院网站上向社会公布推免生名额、推荐办法，按要求对拟推免名单等重要事项进行公示。公示期间，公示内容原则上不得修改。如确有必要变动，须对变动部分作出说明，并对变动内容另行公示相同天数。同时畅通推免信息咨询、信访举报和申诉受理渠道，及时发现、坚决纠正推免工作中出现的错误。</w:t>
      </w:r>
    </w:p>
    <w:p>
      <w:pPr>
        <w:spacing w:after="80" w:lineRule="auto" w:line="360"/>
        <w:ind w:firstLine="482"/>
        <w:jc w:val="both"/>
      </w:pPr>
      <w:r>
        <w:rPr>
          <w:rFonts w:ascii="Times New Roman" w:hAnsi="Times New Roman" w:eastAsia="宋体"/>
          <w:b w:val="0"/>
          <w:sz w:val="24"/>
        </w:rPr>
        <w:t>5. 违规严处原则</w:t>
      </w:r>
    </w:p>
    <w:p>
      <w:pPr>
        <w:spacing w:after="80" w:lineRule="auto" w:line="360"/>
        <w:ind w:firstLine="482"/>
        <w:jc w:val="both"/>
      </w:pPr>
      <w:r>
        <w:rPr>
          <w:rFonts w:ascii="Times New Roman" w:hAnsi="Times New Roman" w:eastAsia="宋体"/>
          <w:b w:val="0"/>
          <w:sz w:val="24"/>
        </w:rPr>
        <w:t>加强诚信建设，对在推免过程中有弄虚作假、学术不端等行为的学生，一经查实将严肃惩处，已入学的要取消研究生学籍，并记入《国家教育考试考生诚信档案》。推免相关工作人员未严格履责，违反推免政策规定的，学校将依纪严肃处理，造成严重后果和恶劣影响的，对有关责任人实行问责。</w:t>
      </w:r>
    </w:p>
    <w:p>
      <w:pPr>
        <w:spacing w:before="160" w:after="80" w:lineRule="auto" w:line="360"/>
        <w:jc w:val="left"/>
      </w:pPr>
      <w:r>
        <w:rPr>
          <w:rFonts w:ascii="Times New Roman" w:hAnsi="Times New Roman" w:eastAsia="宋体"/>
          <w:b/>
          <w:sz w:val="28"/>
        </w:rPr>
        <w:t>二、指标分配办法</w:t>
      </w:r>
    </w:p>
    <w:p>
      <w:pPr>
        <w:spacing w:after="80" w:lineRule="auto" w:line="360"/>
        <w:ind w:firstLine="482"/>
        <w:jc w:val="both"/>
      </w:pPr>
      <w:r>
        <w:rPr>
          <w:rFonts w:ascii="Times New Roman" w:hAnsi="Times New Roman" w:eastAsia="宋体"/>
          <w:b w:val="0"/>
          <w:sz w:val="24"/>
        </w:rPr>
        <w:t>1. 学校下达指标情况</w:t>
      </w:r>
    </w:p>
    <w:p>
      <w:pPr>
        <w:spacing w:after="80" w:lineRule="auto" w:line="360"/>
        <w:ind w:firstLine="482"/>
        <w:jc w:val="both"/>
      </w:pPr>
      <w:r>
        <w:rPr>
          <w:rFonts w:ascii="Times New Roman" w:hAnsi="Times New Roman" w:eastAsia="宋体"/>
          <w:b w:val="0"/>
          <w:sz w:val="24"/>
        </w:rPr>
        <w:t>学校下达环境学院免试攻读研究生指标共计26人，其中包括面上指标19人，工程硕博士指标6人，国优计划指标1人。</w:t>
      </w:r>
    </w:p>
    <w:p>
      <w:pPr>
        <w:spacing w:after="80" w:lineRule="auto" w:line="360"/>
        <w:ind w:firstLine="482"/>
        <w:jc w:val="both"/>
      </w:pPr>
      <w:r>
        <w:rPr>
          <w:rFonts w:ascii="Times New Roman" w:hAnsi="Times New Roman" w:eastAsia="宋体"/>
          <w:b w:val="0"/>
          <w:sz w:val="24"/>
        </w:rPr>
        <w:t>2. 指标分配办法</w:t>
      </w:r>
    </w:p>
    <w:p>
      <w:pPr>
        <w:spacing w:after="80" w:lineRule="auto" w:line="360"/>
        <w:ind w:firstLine="482"/>
        <w:jc w:val="both"/>
      </w:pPr>
      <w:r>
        <w:rPr>
          <w:rFonts w:ascii="Times New Roman" w:hAnsi="Times New Roman" w:eastAsia="宋体"/>
          <w:b w:val="0"/>
          <w:sz w:val="24"/>
        </w:rPr>
        <w:t>（1）面上指标</w:t>
      </w:r>
    </w:p>
    <w:p>
      <w:pPr>
        <w:spacing w:after="80" w:lineRule="auto" w:line="360"/>
        <w:ind w:firstLine="482"/>
        <w:jc w:val="both"/>
      </w:pPr>
      <w:r>
        <w:rPr>
          <w:rFonts w:ascii="Times New Roman" w:hAnsi="Times New Roman" w:eastAsia="宋体"/>
          <w:b w:val="0"/>
          <w:sz w:val="24"/>
        </w:rPr>
        <w:t>面上指标19人分配方案如下：</w:t>
      </w:r>
    </w:p>
    <w:p>
      <w:pPr>
        <w:spacing w:after="80" w:lineRule="auto" w:line="360"/>
        <w:ind w:firstLine="482"/>
        <w:jc w:val="both"/>
      </w:pPr>
      <w:r>
        <w:rPr>
          <w:rFonts w:ascii="Times New Roman" w:hAnsi="Times New Roman" w:eastAsia="宋体"/>
          <w:b w:val="0"/>
          <w:sz w:val="24"/>
        </w:rPr>
        <w:t>按实验班推免指标为班级总人数40%的比例分配给卓2201班推免生指标共7名（班级总人数18）；剩余12名按照各专业普通班学生人数比例分配，方法如下：</w:t>
      </w:r>
    </w:p>
    <w:p>
      <w:pPr>
        <w:spacing w:after="80" w:lineRule="auto" w:line="360"/>
        <w:ind w:firstLine="482"/>
        <w:jc w:val="both"/>
      </w:pPr>
      <w:r>
        <w:rPr>
          <w:rFonts w:ascii="Times New Roman" w:hAnsi="Times New Roman" w:eastAsia="宋体"/>
          <w:b w:val="0"/>
          <w:sz w:val="24"/>
        </w:rPr>
        <w:t>各专业分配指标数=（本科生院面上指标数-给卓班推免指标数）×（各专业普通班毕业生人数/2026届普通班毕业生总人数）。</w:t>
      </w:r>
    </w:p>
    <w:p>
      <w:pPr>
        <w:spacing w:after="80" w:lineRule="auto" w:line="360"/>
        <w:ind w:firstLine="482"/>
        <w:jc w:val="both"/>
      </w:pPr>
      <w:r>
        <w:rPr>
          <w:rFonts w:ascii="Times New Roman" w:hAnsi="Times New Roman" w:eastAsia="宋体"/>
          <w:b w:val="0"/>
          <w:sz w:val="24"/>
        </w:rPr>
        <w:t>面上指标分配结果为：环境工程专业指标5.05（5）个，建筑环境与能源应用工程专业指标5.05（5）个，给排水科学与工程专业指标1.89（2）个。</w:t>
      </w:r>
    </w:p>
    <w:p>
      <w:pPr>
        <w:spacing w:after="80" w:lineRule="auto" w:line="360"/>
        <w:ind w:firstLine="482"/>
        <w:jc w:val="both"/>
      </w:pPr>
      <w:r>
        <w:rPr>
          <w:rFonts w:ascii="Times New Roman" w:hAnsi="Times New Roman" w:eastAsia="宋体"/>
          <w:b w:val="0"/>
          <w:sz w:val="24"/>
        </w:rPr>
        <w:t>（2）工程硕博士指标</w:t>
      </w:r>
    </w:p>
    <w:p>
      <w:pPr>
        <w:spacing w:after="80" w:lineRule="auto" w:line="360"/>
        <w:ind w:firstLine="482"/>
        <w:jc w:val="both"/>
      </w:pPr>
      <w:r>
        <w:rPr>
          <w:rFonts w:ascii="Times New Roman" w:hAnsi="Times New Roman" w:eastAsia="宋体"/>
          <w:b w:val="0"/>
          <w:sz w:val="24"/>
        </w:rPr>
        <w:t>工程硕博士指标6人分配方案如下：</w:t>
      </w:r>
    </w:p>
    <w:p>
      <w:pPr>
        <w:spacing w:after="80" w:lineRule="auto" w:line="360"/>
        <w:ind w:firstLine="482"/>
        <w:jc w:val="both"/>
      </w:pPr>
      <w:r>
        <w:rPr>
          <w:rFonts w:ascii="Times New Roman" w:hAnsi="Times New Roman" w:eastAsia="宋体"/>
          <w:b w:val="0"/>
          <w:sz w:val="24"/>
        </w:rPr>
        <w:t>根据企业定向培养需求，综合考虑我院工程硕博士现有招生情况，分配给环境工程专业3人，给排水科学与工程专业（含给卓）2人，建筑环境与能源应用工程专业1人。</w:t>
      </w:r>
    </w:p>
    <w:p>
      <w:pPr>
        <w:spacing w:after="80" w:lineRule="auto" w:line="360"/>
        <w:ind w:firstLine="482"/>
        <w:jc w:val="both"/>
      </w:pPr>
      <w:r>
        <w:rPr>
          <w:rFonts w:ascii="Times New Roman" w:hAnsi="Times New Roman" w:eastAsia="宋体"/>
          <w:b w:val="0"/>
          <w:sz w:val="24"/>
        </w:rPr>
        <w:t>（3）国优指标</w:t>
      </w:r>
    </w:p>
    <w:p>
      <w:pPr>
        <w:spacing w:after="80" w:lineRule="auto" w:line="360"/>
        <w:ind w:firstLine="482"/>
        <w:jc w:val="both"/>
      </w:pPr>
      <w:r>
        <w:rPr>
          <w:rFonts w:ascii="Times New Roman" w:hAnsi="Times New Roman" w:eastAsia="宋体"/>
          <w:b w:val="0"/>
          <w:sz w:val="24"/>
        </w:rPr>
        <w:t>根据本科生在优秀科创成果方面的综合表现，分配给建筑环境与能源应用工程专业1人。</w:t>
      </w:r>
    </w:p>
    <w:p>
      <w:pPr>
        <w:spacing w:after="80" w:lineRule="auto" w:line="360"/>
        <w:ind w:firstLine="482"/>
        <w:jc w:val="both"/>
      </w:pPr>
      <w:r>
        <w:rPr>
          <w:rFonts w:ascii="Times New Roman" w:hAnsi="Times New Roman" w:eastAsia="宋体"/>
          <w:b w:val="0"/>
          <w:sz w:val="24"/>
        </w:rPr>
        <w:t>3. 推免指标分配结果</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面上分配</w:t>
            </w:r>
          </w:p>
        </w:tc>
        <w:tc>
          <w:tcPr>
            <w:tcW w:type="dxa" w:w="1727"/>
          </w:tcPr>
          <w:p>
            <w:pPr>
              <w:spacing w:after="20" w:before="20"/>
            </w:pPr>
            <w:r/>
            <w:r>
              <w:rPr>
                <w:rFonts w:ascii="Times New Roman" w:hAnsi="Times New Roman" w:eastAsia="宋体"/>
                <w:b/>
                <w:sz w:val="21"/>
              </w:rPr>
              <w:t>工程硕博士</w:t>
            </w:r>
          </w:p>
        </w:tc>
        <w:tc>
          <w:tcPr>
            <w:tcW w:type="dxa" w:w="1727"/>
          </w:tcPr>
          <w:p>
            <w:pPr>
              <w:spacing w:after="20" w:before="20"/>
            </w:pPr>
            <w:r/>
            <w:r>
              <w:rPr>
                <w:rFonts w:ascii="Times New Roman" w:hAnsi="Times New Roman" w:eastAsia="宋体"/>
                <w:b/>
                <w:sz w:val="21"/>
              </w:rPr>
              <w:t>国优计划</w:t>
            </w:r>
          </w:p>
        </w:tc>
        <w:tc>
          <w:tcPr>
            <w:tcW w:type="dxa" w:w="1727"/>
          </w:tcPr>
          <w:p>
            <w:pPr>
              <w:spacing w:after="20" w:before="20"/>
            </w:pPr>
            <w:r/>
            <w:r>
              <w:rPr>
                <w:rFonts w:ascii="Times New Roman" w:hAnsi="Times New Roman" w:eastAsia="宋体"/>
                <w:b/>
                <w:sz w:val="21"/>
              </w:rPr>
              <w:t>推免指总计</w:t>
            </w:r>
          </w:p>
        </w:tc>
      </w:tr>
      <w:tr>
        <w:tc>
          <w:tcPr>
            <w:tcW w:type="dxa" w:w="1727"/>
          </w:tcPr>
          <w:p>
            <w:pPr>
              <w:spacing w:after="20" w:before="20"/>
            </w:pPr>
            <w:r/>
            <w:r>
              <w:rPr>
                <w:rFonts w:ascii="Times New Roman" w:hAnsi="Times New Roman" w:eastAsia="宋体"/>
                <w:b w:val="0"/>
                <w:sz w:val="21"/>
              </w:rPr>
              <w:t>环境工程</w:t>
            </w:r>
          </w:p>
        </w:tc>
        <w:tc>
          <w:tcPr>
            <w:tcW w:type="dxa" w:w="1727"/>
          </w:tcPr>
          <w:p>
            <w:pPr>
              <w:spacing w:after="20" w:before="20"/>
            </w:pPr>
            <w:r/>
            <w:r>
              <w:rPr>
                <w:rFonts w:ascii="Times New Roman" w:hAnsi="Times New Roman" w:eastAsia="宋体"/>
                <w:b w:val="0"/>
                <w:sz w:val="21"/>
              </w:rPr>
              <w:t>5.05</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8.05（8）</w:t>
            </w:r>
          </w:p>
        </w:tc>
      </w:tr>
      <w:tr>
        <w:tc>
          <w:tcPr>
            <w:tcW w:type="dxa" w:w="1727"/>
          </w:tcPr>
          <w:p>
            <w:pPr>
              <w:spacing w:after="20" w:before="20"/>
            </w:pPr>
            <w:r/>
            <w:r>
              <w:rPr>
                <w:rFonts w:ascii="Times New Roman" w:hAnsi="Times New Roman" w:eastAsia="宋体"/>
                <w:b w:val="0"/>
                <w:sz w:val="21"/>
              </w:rPr>
              <w:t>建筑环境与能源应用工程</w:t>
            </w:r>
          </w:p>
        </w:tc>
        <w:tc>
          <w:tcPr>
            <w:tcW w:type="dxa" w:w="1727"/>
          </w:tcPr>
          <w:p>
            <w:pPr>
              <w:spacing w:after="20" w:before="20"/>
            </w:pPr>
            <w:r/>
            <w:r>
              <w:rPr>
                <w:rFonts w:ascii="Times New Roman" w:hAnsi="Times New Roman" w:eastAsia="宋体"/>
                <w:b w:val="0"/>
                <w:sz w:val="21"/>
              </w:rPr>
              <w:t>5.05</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7.05（7）</w:t>
            </w:r>
          </w:p>
        </w:tc>
      </w:tr>
      <w:tr>
        <w:tc>
          <w:tcPr>
            <w:tcW w:type="dxa" w:w="1727"/>
          </w:tcPr>
          <w:p>
            <w:pPr>
              <w:spacing w:after="20" w:before="20"/>
            </w:pPr>
            <w:r/>
            <w:r>
              <w:rPr>
                <w:rFonts w:ascii="Times New Roman" w:hAnsi="Times New Roman" w:eastAsia="宋体"/>
                <w:b w:val="0"/>
                <w:sz w:val="21"/>
              </w:rPr>
              <w:t>给排水科学与工程</w:t>
            </w:r>
          </w:p>
        </w:tc>
        <w:tc>
          <w:tcPr>
            <w:tcW w:type="dxa" w:w="1727"/>
          </w:tcPr>
          <w:p>
            <w:pPr>
              <w:spacing w:after="20" w:before="20"/>
            </w:pPr>
            <w:r/>
            <w:r>
              <w:rPr>
                <w:rFonts w:ascii="Times New Roman" w:hAnsi="Times New Roman" w:eastAsia="宋体"/>
                <w:b w:val="0"/>
                <w:sz w:val="21"/>
              </w:rPr>
              <w:t>1.89</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10.89（11）</w:t>
            </w:r>
          </w:p>
        </w:tc>
      </w:tr>
      <w:tr>
        <w:tc>
          <w:tcPr>
            <w:tcW w:type="dxa" w:w="1727"/>
          </w:tcPr>
          <w:p>
            <w:pPr>
              <w:spacing w:after="20" w:before="20"/>
            </w:pPr>
            <w:r/>
            <w:r>
              <w:rPr>
                <w:rFonts w:ascii="Times New Roman" w:hAnsi="Times New Roman" w:eastAsia="宋体"/>
                <w:b w:val="0"/>
                <w:sz w:val="21"/>
              </w:rPr>
              <w:t>给排水卓越班</w:t>
            </w:r>
          </w:p>
        </w:tc>
        <w:tc>
          <w:tcPr>
            <w:tcW w:type="dxa" w:w="1727"/>
          </w:tcPr>
          <w:p>
            <w:pPr>
              <w:spacing w:after="20" w:before="20"/>
            </w:pPr>
            <w:r/>
            <w:r>
              <w:rPr>
                <w:rFonts w:ascii="Times New Roman" w:hAnsi="Times New Roman" w:eastAsia="宋体"/>
                <w:b w:val="0"/>
                <w:sz w:val="21"/>
              </w:rPr>
              <w:t>7.00</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合 计</w:t>
            </w:r>
          </w:p>
        </w:tc>
        <w:tc>
          <w:tcPr>
            <w:tcW w:type="dxa" w:w="1727"/>
          </w:tcPr>
          <w:p>
            <w:pPr>
              <w:spacing w:after="20" w:before="20"/>
            </w:pPr>
            <w:r/>
            <w:r>
              <w:rPr>
                <w:rFonts w:ascii="Times New Roman" w:hAnsi="Times New Roman" w:eastAsia="宋体"/>
                <w:b w:val="0"/>
                <w:sz w:val="21"/>
              </w:rPr>
              <w:t>19.00</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26</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