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海洋文化与法律学院推荐优秀应届本科毕业生免试攻读硕士学位研究生工作实施细则-集美大学海洋文化与法律学院</w:t>
      </w:r>
    </w:p>
    <w:p>
      <w:pPr>
        <w:spacing w:after="80" w:lineRule="auto" w:line="360"/>
        <w:ind w:firstLine="482"/>
        <w:jc w:val="both"/>
      </w:pPr>
      <w:r>
        <w:rPr>
          <w:rFonts w:ascii="Times New Roman" w:hAnsi="Times New Roman" w:eastAsia="宋体"/>
          <w:b w:val="0"/>
          <w:sz w:val="24"/>
        </w:rPr>
        <w:t>海洋文化与法律学院发布推荐优秀应届本科毕业生免试攻读硕士学位研究生工作实施细则，具体内容详见附件。</w:t>
      </w:r>
    </w:p>
    <w:p>
      <w:pPr>
        <w:spacing w:after="80" w:lineRule="auto" w:line="360"/>
        <w:ind w:firstLine="482"/>
        <w:jc w:val="both"/>
      </w:pPr>
      <w:r>
        <w:rPr>
          <w:rFonts w:ascii="Times New Roman" w:hAnsi="Times New Roman" w:eastAsia="宋体"/>
          <w:b w:val="0"/>
          <w:sz w:val="24"/>
        </w:rPr>
        <w:t>发布日期（推定）：2025年7月30日</w:t>
      </w:r>
    </w:p>
    <w:p>
      <w:pPr>
        <w:spacing w:before="160" w:after="80" w:lineRule="auto" w:line="360"/>
        <w:jc w:val="left"/>
      </w:pPr>
      <w:r>
        <w:rPr>
          <w:rFonts w:ascii="Times New Roman" w:hAnsi="Times New Roman" w:eastAsia="宋体"/>
          <w:b/>
          <w:sz w:val="28"/>
        </w:rPr>
        <w:t>一、附件清单</w:t>
      </w:r>
    </w:p>
    <w:p>
      <w:pPr>
        <w:spacing w:after="80" w:lineRule="auto" w:line="360"/>
        <w:ind w:firstLine="482"/>
        <w:jc w:val="both"/>
      </w:pPr>
      <w:r>
        <w:rPr>
          <w:rFonts w:ascii="Times New Roman" w:hAnsi="Times New Roman" w:eastAsia="宋体"/>
          <w:b w:val="0"/>
          <w:sz w:val="24"/>
        </w:rPr>
        <w:t>1. 2025年海洋文化与法律学院推荐优秀应届本科毕业生免试攻读硕士学位研究生工作实施细则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2. 海洋文化与法律学院硕士推免全面发展测评成绩计算标准</w:t>
      </w:r>
    </w:p>
    <w:p>
      <w:pPr>
        <w:spacing w:before="160" w:after="80" w:lineRule="auto" w:line="360"/>
        <w:jc w:val="left"/>
      </w:pPr>
      <w:r>
        <w:rPr>
          <w:rFonts w:ascii="Times New Roman" w:hAnsi="Times New Roman" w:eastAsia="宋体"/>
          <w:b/>
          <w:sz w:val="28"/>
        </w:rPr>
        <w:t>二、附件下载</w:t>
      </w:r>
    </w:p>
    <w:p>
      <w:pPr>
        <w:spacing w:after="80" w:lineRule="auto" w:line="360"/>
        <w:ind w:firstLine="482"/>
        <w:jc w:val="both"/>
      </w:pPr>
      <w:r>
        <w:rPr>
          <w:rFonts w:ascii="Times New Roman" w:hAnsi="Times New Roman" w:eastAsia="宋体"/>
          <w:b w:val="0"/>
          <w:sz w:val="24"/>
        </w:rPr>
        <w:t>1. 附件【2025年海洋文化与法律学院推荐优秀应届毕业生免试攻读硕士学位研究生工作实施细则.docx】</w:t>
      </w:r>
    </w:p>
    <w:p>
      <w:pPr>
        <w:spacing w:after="80" w:lineRule="auto" w:line="360"/>
        <w:ind w:firstLine="482"/>
        <w:jc w:val="both"/>
      </w:pPr>
      <w:r>
        <w:rPr>
          <w:rFonts w:ascii="Times New Roman" w:hAnsi="Times New Roman" w:eastAsia="宋体"/>
          <w:b w:val="0"/>
          <w:sz w:val="24"/>
        </w:rPr>
        <w:t>2. 附件【附件2：海洋文化与法律学院硕士推免全面发展测评成绩计算标准.docx】</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院长信箱</w:t>
      </w:r>
    </w:p>
    <w:p>
      <w:pPr>
        <w:spacing w:after="80" w:lineRule="auto" w:line="360"/>
        <w:ind w:firstLine="482"/>
        <w:jc w:val="both"/>
      </w:pPr>
      <w:r>
        <w:rPr>
          <w:rFonts w:ascii="Times New Roman" w:hAnsi="Times New Roman" w:eastAsia="宋体"/>
          <w:b w:val="0"/>
          <w:sz w:val="24"/>
        </w:rPr>
        <w:t>2. 书记信箱</w:t>
      </w:r>
    </w:p>
    <w:p>
      <w:pPr>
        <w:spacing w:after="80" w:lineRule="auto" w:line="360"/>
        <w:ind w:firstLine="482"/>
        <w:jc w:val="both"/>
      </w:pPr>
      <w:r>
        <w:rPr>
          <w:rFonts w:ascii="Times New Roman" w:hAnsi="Times New Roman" w:eastAsia="宋体"/>
          <w:b w:val="0"/>
          <w:sz w:val="24"/>
        </w:rPr>
        <w:t>3. 学生工作信箱</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