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广东海洋大学食品科学与工程学院选拔优秀应届本科毕业生免试攻读研究生工作实施细则</w:t>
      </w:r>
    </w:p>
    <w:p>
      <w:pPr>
        <w:spacing w:line="360" w:lineRule="auto" w:before="160" w:after="80"/>
        <w:ind w:firstLine="0"/>
        <w:jc w:val="left"/>
      </w:pPr>
      <w:r>
        <w:rPr>
          <w:rFonts w:ascii="Times New Roman" w:hAnsi="Times New Roman" w:eastAsia="宋体"/>
          <w:b/>
          <w:sz w:val="28"/>
        </w:rPr>
        <w:t>一、学院推免工作指导思想</w:t>
      </w:r>
    </w:p>
    <w:p>
      <w:pPr>
        <w:spacing w:line="360" w:lineRule="auto" w:before="0" w:after="80"/>
        <w:ind w:firstLine="482"/>
        <w:jc w:val="both"/>
      </w:pPr>
      <w:r>
        <w:rPr>
          <w:rFonts w:ascii="Times New Roman" w:hAnsi="Times New Roman" w:eastAsia="宋体"/>
          <w:b w:val="0"/>
          <w:sz w:val="24"/>
        </w:rPr>
        <w:t>为深化教学改革，加大对拔尖创新人才的选拔力度，激励学生勤奋学习、全面发展，坚持公平、公开、公正的原则，坚决杜绝各种不正之风。根据《广东海洋大学推荐优秀应届本科毕业生免试攻读研究生工作管理办法》(校教务〔2024〕 70号)文件精神，结合学院实际，研究制定《广东海洋大学食品科学与工程学院选拔优秀应届本科毕业生免试攻读研究生工作实施细则》。</w:t>
      </w:r>
    </w:p>
    <w:p>
      <w:pPr>
        <w:spacing w:line="360" w:lineRule="auto" w:before="160" w:after="80"/>
        <w:ind w:firstLine="0"/>
        <w:jc w:val="left"/>
      </w:pPr>
      <w:r>
        <w:rPr>
          <w:rFonts w:ascii="Times New Roman" w:hAnsi="Times New Roman" w:eastAsia="宋体"/>
          <w:b/>
          <w:sz w:val="28"/>
        </w:rPr>
        <w:t>二、学院推免工作领导小组组成办法</w:t>
      </w:r>
    </w:p>
    <w:p>
      <w:pPr>
        <w:spacing w:line="360" w:lineRule="auto" w:before="0" w:after="80"/>
        <w:ind w:firstLine="482"/>
        <w:jc w:val="both"/>
      </w:pPr>
      <w:r>
        <w:rPr>
          <w:rFonts w:ascii="Times New Roman" w:hAnsi="Times New Roman" w:eastAsia="宋体"/>
          <w:b w:val="0"/>
          <w:sz w:val="24"/>
        </w:rPr>
        <w:t>成立学院推免工作领导小组，由学院院长担任组长，分管教学工作的院领导、分管学生工作的院领导、高级职称教师代表等担任组员，一般不得少于7人。推免工作领导小组制定和解释学院推免工作细则，全面负责本学院推免生遴选工作的组织动员、资格审查、综合成绩评定等具体工作。专家审核小组成员由学院推免工作领导小组从学院高级职称教师队伍中随机抽取不少于5人组成，组长由内部推荐产生并主持工作，负责对有争议的科研创新成果、论文、竞赛获奖进行审核，鉴定其级别等级以及是否存在抄袭、造假及有名无实等情况，并负责审核认定学生的特殊学术专长，组织相关学生在一定范围内公开答辩。</w:t>
      </w:r>
    </w:p>
    <w:p>
      <w:pPr>
        <w:spacing w:line="360" w:lineRule="auto" w:before="160" w:after="80"/>
        <w:ind w:firstLine="0"/>
        <w:jc w:val="left"/>
      </w:pPr>
      <w:r>
        <w:rPr>
          <w:rFonts w:ascii="Times New Roman" w:hAnsi="Times New Roman" w:eastAsia="宋体"/>
          <w:b/>
          <w:sz w:val="28"/>
        </w:rPr>
        <w:t>三、学院推免对象及基本条件</w:t>
      </w:r>
    </w:p>
    <w:p>
      <w:pPr>
        <w:spacing w:line="360" w:lineRule="auto" w:before="160" w:after="80"/>
        <w:ind w:firstLine="0"/>
        <w:jc w:val="left"/>
      </w:pPr>
      <w:r>
        <w:rPr>
          <w:rFonts w:ascii="Times New Roman" w:hAnsi="Times New Roman" w:eastAsia="宋体"/>
          <w:b/>
          <w:sz w:val="28"/>
        </w:rPr>
        <w:t>1.学院2022级食品科学与工程专业、食品营养与健康专业、食品质量与安全专业应届优秀全日制本科毕业生(不含第二学士学位、辅修专业学生)。</w:t>
      </w:r>
    </w:p>
    <w:p>
      <w:pPr>
        <w:spacing w:line="360" w:lineRule="auto" w:before="160" w:after="80"/>
        <w:ind w:firstLine="0"/>
        <w:jc w:val="left"/>
      </w:pPr>
      <w:r>
        <w:rPr>
          <w:rFonts w:ascii="Times New Roman" w:hAnsi="Times New Roman" w:eastAsia="宋体"/>
          <w:b/>
          <w:sz w:val="28"/>
        </w:rPr>
        <w:t>2.热爱祖国，拥护党的基本路线，具有较强的社会责任感和历史使命感。</w:t>
      </w:r>
    </w:p>
    <w:p>
      <w:pPr>
        <w:spacing w:line="360" w:lineRule="auto" w:before="160" w:after="80"/>
        <w:ind w:firstLine="0"/>
        <w:jc w:val="left"/>
      </w:pPr>
      <w:r>
        <w:rPr>
          <w:rFonts w:ascii="Times New Roman" w:hAnsi="Times New Roman" w:eastAsia="宋体"/>
          <w:b/>
          <w:sz w:val="28"/>
        </w:rPr>
        <w:t>3.身心健康，品行端正,积极向上，遵纪守法，诚实守信，无任何考试作弊和剽窃他人学术成果记录，无任何受处分记录。</w:t>
      </w:r>
    </w:p>
    <w:p>
      <w:pPr>
        <w:spacing w:line="360" w:lineRule="auto" w:before="0" w:after="80"/>
        <w:ind w:firstLine="482"/>
        <w:jc w:val="both"/>
      </w:pPr>
      <w:r>
        <w:rPr>
          <w:rFonts w:ascii="Times New Roman" w:hAnsi="Times New Roman" w:eastAsia="宋体"/>
          <w:b w:val="0"/>
          <w:sz w:val="24"/>
        </w:rPr>
        <w:t>4.全国大学英语四级考试成绩达到480分(710分制)以上， 或六级考试成绩达到425分(710分制)以上；其他语种作为外语的学生，外语课程平均学分绩点达到3.5及以上。托福成绩85分或雅思成绩6.5及以上，亦可认为达到外语水平要求。</w:t>
      </w:r>
    </w:p>
    <w:p>
      <w:pPr>
        <w:spacing w:line="360" w:lineRule="auto" w:before="160" w:after="80"/>
        <w:ind w:firstLine="0"/>
        <w:jc w:val="left"/>
      </w:pPr>
      <w:r>
        <w:rPr>
          <w:rFonts w:ascii="Times New Roman" w:hAnsi="Times New Roman" w:eastAsia="宋体"/>
          <w:b/>
          <w:sz w:val="28"/>
        </w:rPr>
        <w:t>5.在校学习期间所修课程平均学分绩点不低于3.00；必修及限选课程无不及格、缺考或取消考试资格记录。</w:t>
      </w:r>
    </w:p>
    <w:p>
      <w:pPr>
        <w:spacing w:line="360" w:lineRule="auto" w:before="160" w:after="80"/>
        <w:ind w:firstLine="0"/>
        <w:jc w:val="left"/>
      </w:pPr>
      <w:r>
        <w:rPr>
          <w:rFonts w:ascii="Times New Roman" w:hAnsi="Times New Roman" w:eastAsia="宋体"/>
          <w:b/>
          <w:sz w:val="28"/>
        </w:rPr>
        <w:t>四、推免排序规则</w:t>
      </w:r>
    </w:p>
    <w:p>
      <w:pPr>
        <w:spacing w:line="360" w:lineRule="auto" w:before="160" w:after="80"/>
        <w:ind w:firstLine="0"/>
        <w:jc w:val="left"/>
      </w:pPr>
      <w:r>
        <w:rPr>
          <w:rFonts w:ascii="Times New Roman" w:hAnsi="Times New Roman" w:eastAsia="宋体"/>
          <w:b/>
          <w:sz w:val="28"/>
        </w:rPr>
        <w:t>（一）排名方法</w:t>
      </w:r>
    </w:p>
    <w:p>
      <w:pPr>
        <w:spacing w:line="360" w:lineRule="auto" w:before="0" w:after="80"/>
        <w:ind w:firstLine="482"/>
        <w:jc w:val="both"/>
      </w:pPr>
      <w:r>
        <w:rPr>
          <w:rFonts w:ascii="Times New Roman" w:hAnsi="Times New Roman" w:eastAsia="宋体"/>
          <w:b w:val="0"/>
          <w:sz w:val="24"/>
        </w:rPr>
        <w:t>综合成绩由课程成绩、创新创业成绩和思想道德及操行表现成绩组成，各单项成绩满分为100分。</w:t>
      </w:r>
    </w:p>
    <w:p>
      <w:pPr>
        <w:spacing w:line="360" w:lineRule="auto" w:before="0" w:after="80"/>
        <w:ind w:firstLine="482"/>
        <w:jc w:val="both"/>
      </w:pPr>
      <w:r>
        <w:rPr>
          <w:rFonts w:ascii="Times New Roman" w:hAnsi="Times New Roman" w:eastAsia="宋体"/>
          <w:b w:val="0"/>
          <w:sz w:val="24"/>
        </w:rPr>
        <w:t>综合成绩的计算公式为：</w:t>
      </w:r>
    </w:p>
    <w:p>
      <w:pPr>
        <w:spacing w:line="360" w:lineRule="auto" w:before="0" w:after="80"/>
        <w:ind w:firstLine="482"/>
        <w:jc w:val="both"/>
      </w:pPr>
      <w:r>
        <w:rPr>
          <w:rFonts w:ascii="Times New Roman" w:hAnsi="Times New Roman" w:eastAsia="宋体"/>
          <w:b w:val="0"/>
          <w:sz w:val="24"/>
        </w:rPr>
        <w:t>综合成绩=课程成绩×80%+创新创业成绩×10%+思想道德及操行表现成绩×10%。</w:t>
      </w:r>
    </w:p>
    <w:p>
      <w:pPr>
        <w:spacing w:line="360" w:lineRule="auto" w:before="0" w:after="80"/>
        <w:ind w:firstLine="482"/>
        <w:jc w:val="both"/>
      </w:pPr>
      <w:r>
        <w:rPr>
          <w:rFonts w:ascii="Times New Roman" w:hAnsi="Times New Roman" w:eastAsia="宋体"/>
          <w:b w:val="0"/>
          <w:sz w:val="24"/>
        </w:rPr>
        <w:t>学院根据学生综合成绩由高到低顺序确定推荐名单（以上计算均保留两位小数）。综合成绩相同时，课程成绩高的优先选拔。</w:t>
      </w:r>
    </w:p>
    <w:p>
      <w:pPr>
        <w:spacing w:line="360" w:lineRule="auto" w:before="160" w:after="80"/>
        <w:ind w:firstLine="0"/>
        <w:jc w:val="left"/>
      </w:pPr>
      <w:r>
        <w:rPr>
          <w:rFonts w:ascii="Times New Roman" w:hAnsi="Times New Roman" w:eastAsia="宋体"/>
          <w:b/>
          <w:sz w:val="28"/>
        </w:rPr>
        <w:t>(二)课程成绩计算方法</w:t>
      </w:r>
    </w:p>
    <w:p>
      <w:pPr>
        <w:spacing w:line="360" w:lineRule="auto" w:before="0" w:after="80"/>
        <w:ind w:firstLine="482"/>
        <w:jc w:val="both"/>
      </w:pPr>
      <w:r>
        <w:rPr>
          <w:rFonts w:ascii="Times New Roman" w:hAnsi="Times New Roman" w:eastAsia="宋体"/>
          <w:b w:val="0"/>
          <w:sz w:val="24"/>
        </w:rPr>
        <w:t>指学生在校期间所修课程的加权平均成绩，即以学生成绩单中显示的平均学分绩点为准（课程绩点按第一次考核成绩计算），换算为相应的分数（百分制），作为课程成绩，具体对应关系按照《广东海洋大学全日制本科学生学籍管理规定》执行。</w:t>
      </w:r>
    </w:p>
    <w:p>
      <w:pPr>
        <w:spacing w:line="360" w:lineRule="auto" w:before="160" w:after="80"/>
        <w:ind w:firstLine="0"/>
        <w:jc w:val="left"/>
      </w:pPr>
      <w:r>
        <w:rPr>
          <w:rFonts w:ascii="Times New Roman" w:hAnsi="Times New Roman" w:eastAsia="宋体"/>
          <w:b/>
          <w:sz w:val="28"/>
        </w:rPr>
        <w:t>(三)创新创业成绩计算方法</w:t>
      </w:r>
    </w:p>
    <w:p>
      <w:pPr>
        <w:spacing w:line="360" w:lineRule="auto" w:before="0" w:after="80"/>
        <w:ind w:firstLine="482"/>
        <w:jc w:val="both"/>
      </w:pPr>
      <w:r>
        <w:rPr>
          <w:rFonts w:ascii="Times New Roman" w:hAnsi="Times New Roman" w:eastAsia="宋体"/>
          <w:b w:val="0"/>
          <w:sz w:val="24"/>
        </w:rPr>
        <w:t>按照《广东海洋大学推荐优秀应届本科毕业生免试攻读研究生工作管理办法》(校教务〔2024〕70号)第三章资格条件与综合成绩评定办法执行。其中，Ⅲ类竞赛中学院认为有重要影响的其他竞赛项目为：全国大学生食品工程虚拟仿真大赛；全国预制菜创新创业大赛；广东省大学生生物化学实验技能大赛；食品类创新大赛；食品科学类知识竞赛。</w:t>
      </w:r>
    </w:p>
    <w:p>
      <w:pPr>
        <w:spacing w:line="360" w:lineRule="auto" w:before="160" w:after="80"/>
        <w:ind w:firstLine="0"/>
        <w:jc w:val="left"/>
      </w:pPr>
      <w:r>
        <w:rPr>
          <w:rFonts w:ascii="Times New Roman" w:hAnsi="Times New Roman" w:eastAsia="宋体"/>
          <w:b/>
          <w:sz w:val="28"/>
        </w:rPr>
        <w:t>(四)思想道德及操行表现成绩计算方法</w:t>
      </w:r>
    </w:p>
    <w:p>
      <w:pPr>
        <w:spacing w:line="360" w:lineRule="auto" w:before="0" w:after="80"/>
        <w:ind w:firstLine="482"/>
        <w:jc w:val="both"/>
      </w:pPr>
      <w:r>
        <w:rPr>
          <w:rFonts w:ascii="Times New Roman" w:hAnsi="Times New Roman" w:eastAsia="宋体"/>
          <w:b w:val="0"/>
          <w:sz w:val="24"/>
        </w:rPr>
        <w:t>按照《广东海洋大学推荐优秀应届本科毕业生免试攻读研究生工作管理办法》(校教务〔2024〕70号)第三章资格条件与综合成绩评定办法执行。</w:t>
      </w:r>
    </w:p>
    <w:p>
      <w:pPr>
        <w:spacing w:line="360" w:lineRule="auto" w:before="160" w:after="80"/>
        <w:ind w:firstLine="0"/>
        <w:jc w:val="left"/>
      </w:pPr>
      <w:r>
        <w:rPr>
          <w:rFonts w:ascii="Times New Roman" w:hAnsi="Times New Roman" w:eastAsia="宋体"/>
          <w:b/>
          <w:sz w:val="28"/>
        </w:rPr>
        <w:t>五、学院推免学生人数分配</w:t>
      </w:r>
    </w:p>
    <w:p>
      <w:pPr>
        <w:spacing w:line="360" w:lineRule="auto" w:before="0" w:after="80"/>
        <w:ind w:firstLine="482"/>
        <w:jc w:val="both"/>
      </w:pPr>
      <w:r>
        <w:rPr>
          <w:rFonts w:ascii="Times New Roman" w:hAnsi="Times New Roman" w:eastAsia="宋体"/>
          <w:b w:val="0"/>
          <w:sz w:val="24"/>
        </w:rPr>
        <w:t>学院推免生名额由学校划拨。若学院没有符合基本条件的应届毕业生，或符合基本条件的报名学生人数少于学校划拨名额，所划拨或剩余名额返还给学校。</w:t>
      </w:r>
    </w:p>
    <w:p>
      <w:pPr>
        <w:spacing w:line="360" w:lineRule="auto" w:before="0" w:after="80"/>
        <w:ind w:firstLine="482"/>
        <w:jc w:val="both"/>
      </w:pPr>
      <w:r>
        <w:rPr>
          <w:rFonts w:ascii="Times New Roman" w:hAnsi="Times New Roman" w:eastAsia="宋体"/>
          <w:b w:val="0"/>
          <w:sz w:val="24"/>
        </w:rPr>
        <w:t>根据学校划拨的推免生名额，学院推免工作领导小组根据资格审查和综合评定情况，按学生综合成绩由高到低排序，原则上按分配名额的1.2倍（使用进一法取整数）确定遴选推荐名单。设学校划拨的推免生名额数为f,具体遴选推荐规则和遴选备选规则如下。</w:t>
      </w:r>
    </w:p>
    <w:p>
      <w:pPr>
        <w:spacing w:line="360" w:lineRule="auto" w:before="120" w:after="60"/>
        <w:ind w:firstLine="0"/>
        <w:jc w:val="left"/>
      </w:pPr>
      <w:r>
        <w:rPr>
          <w:rFonts w:ascii="Times New Roman" w:hAnsi="Times New Roman" w:eastAsia="宋体"/>
          <w:b/>
          <w:sz w:val="24"/>
        </w:rPr>
        <w:t>序号</w:t>
      </w:r>
    </w:p>
    <w:p>
      <w:pPr>
        <w:spacing w:line="360" w:lineRule="auto" w:before="120" w:after="60"/>
        <w:ind w:firstLine="0"/>
        <w:jc w:val="left"/>
      </w:pPr>
      <w:r>
        <w:rPr>
          <w:rFonts w:ascii="Times New Roman" w:hAnsi="Times New Roman" w:eastAsia="宋体"/>
          <w:b/>
          <w:sz w:val="24"/>
        </w:rPr>
        <w:t>学校划拨的名额分配数</w:t>
      </w:r>
    </w:p>
    <w:p>
      <w:pPr>
        <w:spacing w:line="360" w:lineRule="auto" w:before="120" w:after="60"/>
        <w:ind w:firstLine="0"/>
        <w:jc w:val="left"/>
      </w:pPr>
      <w:r>
        <w:rPr>
          <w:rFonts w:ascii="Times New Roman" w:hAnsi="Times New Roman" w:eastAsia="宋体"/>
          <w:b/>
          <w:sz w:val="24"/>
        </w:rPr>
        <w:t>遴选推荐规则</w:t>
      </w:r>
    </w:p>
    <w:p>
      <w:pPr>
        <w:spacing w:line="360" w:lineRule="auto" w:before="120" w:after="60"/>
        <w:ind w:firstLine="0"/>
        <w:jc w:val="left"/>
      </w:pPr>
      <w:r>
        <w:rPr>
          <w:rFonts w:ascii="Times New Roman" w:hAnsi="Times New Roman" w:eastAsia="宋体"/>
          <w:b/>
          <w:sz w:val="24"/>
        </w:rPr>
        <w:t>遴选备选规则</w:t>
      </w:r>
    </w:p>
    <w:p>
      <w:pPr>
        <w:spacing w:line="360" w:lineRule="auto" w:before="120" w:after="60"/>
        <w:ind w:firstLine="0"/>
        <w:jc w:val="left"/>
      </w:pPr>
      <w:r>
        <w:rPr>
          <w:rFonts w:ascii="Times New Roman" w:hAnsi="Times New Roman" w:eastAsia="宋体"/>
          <w:b/>
          <w:sz w:val="24"/>
        </w:rPr>
        <w:t>备注</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符合f=4n</w:t>
      </w:r>
    </w:p>
    <w:p>
      <w:pPr>
        <w:spacing w:line="360" w:lineRule="auto" w:before="120" w:after="60"/>
        <w:ind w:firstLine="0"/>
        <w:jc w:val="left"/>
      </w:pPr>
      <w:r>
        <w:rPr>
          <w:rFonts w:ascii="Times New Roman" w:hAnsi="Times New Roman" w:eastAsia="宋体"/>
          <w:b/>
          <w:sz w:val="24"/>
        </w:rPr>
        <w:t>（n为非负整数，如f=4、8）</w:t>
      </w:r>
    </w:p>
    <w:p>
      <w:pPr>
        <w:spacing w:line="360" w:lineRule="auto" w:before="0" w:after="80"/>
        <w:ind w:firstLine="482"/>
        <w:jc w:val="both"/>
      </w:pPr>
      <w:r>
        <w:rPr>
          <w:rFonts w:ascii="Times New Roman" w:hAnsi="Times New Roman" w:eastAsia="宋体"/>
          <w:b w:val="0"/>
          <w:sz w:val="24"/>
        </w:rPr>
        <w:t>按各专业学生人数比例分配4n个名额（示例：f=4时，食品科学与工程2名，食品质量与安全、食品营养与健康各1名），再按各专业综合成绩高低排序遴选推荐。</w:t>
      </w:r>
    </w:p>
    <w:p>
      <w:pPr>
        <w:spacing w:line="360" w:lineRule="auto" w:before="0" w:after="80"/>
        <w:ind w:firstLine="482"/>
        <w:jc w:val="both"/>
      </w:pPr>
      <w:r>
        <w:rPr>
          <w:rFonts w:ascii="Times New Roman" w:hAnsi="Times New Roman" w:eastAsia="宋体"/>
          <w:b w:val="0"/>
          <w:sz w:val="24"/>
        </w:rPr>
        <w:t>从未被遴选推荐的学生中，按综合成绩高低排序遴选备选。</w:t>
      </w:r>
    </w:p>
    <w:p>
      <w:pPr>
        <w:spacing w:line="360" w:lineRule="auto" w:before="0" w:after="80"/>
        <w:ind w:firstLine="482"/>
        <w:jc w:val="both"/>
      </w:pPr>
      <w:r>
        <w:rPr>
          <w:rFonts w:ascii="Times New Roman" w:hAnsi="Times New Roman" w:eastAsia="宋体"/>
          <w:b w:val="0"/>
          <w:sz w:val="24"/>
        </w:rPr>
        <w:t>1.2026届应届毕业生各专业人数为：食品科学与工程专业139人，食品质量与安全专业70人，食品营养与健康专业66人。按照各专业学生人数比例分配名额为2:1:1。</w:t>
      </w:r>
    </w:p>
    <w:p>
      <w:pPr>
        <w:spacing w:line="360" w:lineRule="auto" w:before="160" w:after="80"/>
        <w:ind w:firstLine="0"/>
        <w:jc w:val="left"/>
      </w:pPr>
      <w:r>
        <w:rPr>
          <w:rFonts w:ascii="Times New Roman" w:hAnsi="Times New Roman" w:eastAsia="宋体"/>
          <w:b/>
          <w:sz w:val="28"/>
        </w:rPr>
        <w:t>2.若某专业无符合条件学生、符合条件学生人数不足分配名额导致名额剩余，该名额自动调整至其他专业，由符合条件且未被遴选推荐的学生按综合成绩高低排序共同遴选推荐。</w:t>
      </w:r>
    </w:p>
    <w:p>
      <w:pPr>
        <w:spacing w:line="360" w:lineRule="auto" w:before="0" w:after="80"/>
        <w:ind w:firstLine="482"/>
        <w:jc w:val="both"/>
      </w:pPr>
      <w:r>
        <w:rPr>
          <w:rFonts w:ascii="Times New Roman" w:hAnsi="Times New Roman" w:eastAsia="宋体"/>
          <w:b w:val="0"/>
          <w:sz w:val="24"/>
        </w:rPr>
        <w:t>2</w:t>
      </w:r>
    </w:p>
    <w:p>
      <w:pPr>
        <w:spacing w:line="360" w:lineRule="auto" w:before="120" w:after="60"/>
        <w:ind w:firstLine="0"/>
        <w:jc w:val="left"/>
      </w:pPr>
      <w:r>
        <w:rPr>
          <w:rFonts w:ascii="Times New Roman" w:hAnsi="Times New Roman" w:eastAsia="宋体"/>
          <w:b/>
          <w:sz w:val="24"/>
        </w:rPr>
        <w:t>符合f=4n+1</w:t>
      </w:r>
    </w:p>
    <w:p>
      <w:pPr>
        <w:spacing w:line="360" w:lineRule="auto" w:before="120" w:after="60"/>
        <w:ind w:firstLine="0"/>
        <w:jc w:val="left"/>
      </w:pPr>
      <w:r>
        <w:rPr>
          <w:rFonts w:ascii="Times New Roman" w:hAnsi="Times New Roman" w:eastAsia="宋体"/>
          <w:b/>
          <w:sz w:val="24"/>
        </w:rPr>
        <w:t>（n为非负整数，如f=1、5、9）</w:t>
      </w:r>
    </w:p>
    <w:p>
      <w:pPr>
        <w:spacing w:line="360" w:lineRule="auto" w:before="160" w:after="80"/>
        <w:ind w:firstLine="0"/>
        <w:jc w:val="left"/>
      </w:pPr>
      <w:r>
        <w:rPr>
          <w:rFonts w:ascii="Times New Roman" w:hAnsi="Times New Roman" w:eastAsia="宋体"/>
          <w:b/>
          <w:sz w:val="28"/>
        </w:rPr>
        <w:t>1. 按序号1中的遴选推荐规则进行；</w:t>
      </w:r>
    </w:p>
    <w:p>
      <w:pPr>
        <w:spacing w:line="360" w:lineRule="auto" w:before="160" w:after="80"/>
        <w:ind w:firstLine="0"/>
        <w:jc w:val="left"/>
      </w:pPr>
      <w:r>
        <w:rPr>
          <w:rFonts w:ascii="Times New Roman" w:hAnsi="Times New Roman" w:eastAsia="宋体"/>
          <w:b/>
          <w:sz w:val="28"/>
        </w:rPr>
        <w:t>2. 剩余1个名额：从未被遴选推荐的学生中，按综合成绩高低排序遴选推荐。</w:t>
      </w:r>
    </w:p>
    <w:p>
      <w:pPr>
        <w:spacing w:line="360" w:lineRule="auto" w:before="0" w:after="80"/>
        <w:ind w:firstLine="482"/>
        <w:jc w:val="both"/>
      </w:pPr>
      <w:r>
        <w:rPr>
          <w:rFonts w:ascii="Times New Roman" w:hAnsi="Times New Roman" w:eastAsia="宋体"/>
          <w:b w:val="0"/>
          <w:sz w:val="24"/>
        </w:rPr>
        <w:t>从未被遴选推荐的学生中，按综合成绩高低排序遴选备选。</w:t>
      </w:r>
    </w:p>
    <w:p>
      <w:pPr>
        <w:spacing w:line="360" w:lineRule="auto" w:before="0" w:after="80"/>
        <w:ind w:firstLine="482"/>
        <w:jc w:val="both"/>
      </w:pPr>
      <w:r>
        <w:rPr>
          <w:rFonts w:ascii="Times New Roman" w:hAnsi="Times New Roman" w:eastAsia="宋体"/>
          <w:b w:val="0"/>
          <w:sz w:val="24"/>
        </w:rPr>
        <w:t>3</w:t>
      </w:r>
    </w:p>
    <w:p>
      <w:pPr>
        <w:spacing w:line="360" w:lineRule="auto" w:before="120" w:after="60"/>
        <w:ind w:firstLine="0"/>
        <w:jc w:val="left"/>
      </w:pPr>
      <w:r>
        <w:rPr>
          <w:rFonts w:ascii="Times New Roman" w:hAnsi="Times New Roman" w:eastAsia="宋体"/>
          <w:b/>
          <w:sz w:val="24"/>
        </w:rPr>
        <w:t>符合f=4n+2</w:t>
      </w:r>
    </w:p>
    <w:p>
      <w:pPr>
        <w:spacing w:line="360" w:lineRule="auto" w:before="120" w:after="60"/>
        <w:ind w:firstLine="0"/>
        <w:jc w:val="left"/>
      </w:pPr>
      <w:r>
        <w:rPr>
          <w:rFonts w:ascii="Times New Roman" w:hAnsi="Times New Roman" w:eastAsia="宋体"/>
          <w:b/>
          <w:sz w:val="24"/>
        </w:rPr>
        <w:t>（n为非负整数，如f=2、6、10）</w:t>
      </w:r>
    </w:p>
    <w:p>
      <w:pPr>
        <w:spacing w:line="360" w:lineRule="auto" w:before="160" w:after="80"/>
        <w:ind w:firstLine="0"/>
        <w:jc w:val="left"/>
      </w:pPr>
      <w:r>
        <w:rPr>
          <w:rFonts w:ascii="Times New Roman" w:hAnsi="Times New Roman" w:eastAsia="宋体"/>
          <w:b/>
          <w:sz w:val="28"/>
        </w:rPr>
        <w:t>1. 按序号1中的遴选推荐规则进行；</w:t>
      </w:r>
    </w:p>
    <w:p>
      <w:pPr>
        <w:spacing w:line="360" w:lineRule="auto" w:before="160" w:after="80"/>
        <w:ind w:firstLine="0"/>
        <w:jc w:val="left"/>
      </w:pPr>
      <w:r>
        <w:rPr>
          <w:rFonts w:ascii="Times New Roman" w:hAnsi="Times New Roman" w:eastAsia="宋体"/>
          <w:b/>
          <w:sz w:val="28"/>
        </w:rPr>
        <w:t>2. 剩余2个名额：按食品科学与工程专业额外遴选1名；食品营养与健康、食品质量与安全专业共同遴选推荐1名（两专业中综合成绩高者）。</w:t>
      </w:r>
    </w:p>
    <w:p>
      <w:pPr>
        <w:spacing w:line="360" w:lineRule="auto" w:before="0" w:after="80"/>
        <w:ind w:firstLine="482"/>
        <w:jc w:val="both"/>
      </w:pPr>
      <w:r>
        <w:rPr>
          <w:rFonts w:ascii="Times New Roman" w:hAnsi="Times New Roman" w:eastAsia="宋体"/>
          <w:b w:val="0"/>
          <w:sz w:val="24"/>
        </w:rPr>
        <w:t>从未被遴选推荐的学生中，按综合成绩高低排序遴选备选。</w:t>
      </w:r>
    </w:p>
    <w:p>
      <w:pPr>
        <w:spacing w:line="360" w:lineRule="auto" w:before="0" w:after="80"/>
        <w:ind w:firstLine="482"/>
        <w:jc w:val="both"/>
      </w:pPr>
      <w:r>
        <w:rPr>
          <w:rFonts w:ascii="Times New Roman" w:hAnsi="Times New Roman" w:eastAsia="宋体"/>
          <w:b w:val="0"/>
          <w:sz w:val="24"/>
        </w:rPr>
        <w:t>4</w:t>
      </w:r>
    </w:p>
    <w:p>
      <w:pPr>
        <w:spacing w:line="360" w:lineRule="auto" w:before="120" w:after="60"/>
        <w:ind w:firstLine="0"/>
        <w:jc w:val="left"/>
      </w:pPr>
      <w:r>
        <w:rPr>
          <w:rFonts w:ascii="Times New Roman" w:hAnsi="Times New Roman" w:eastAsia="宋体"/>
          <w:b/>
          <w:sz w:val="24"/>
        </w:rPr>
        <w:t>符合f=4n+3</w:t>
      </w:r>
    </w:p>
    <w:p>
      <w:pPr>
        <w:spacing w:line="360" w:lineRule="auto" w:before="120" w:after="60"/>
        <w:ind w:firstLine="0"/>
        <w:jc w:val="left"/>
      </w:pPr>
      <w:r>
        <w:rPr>
          <w:rFonts w:ascii="Times New Roman" w:hAnsi="Times New Roman" w:eastAsia="宋体"/>
          <w:b/>
          <w:sz w:val="24"/>
        </w:rPr>
        <w:t>（n为非负整数，如f=3、7、11）</w:t>
      </w:r>
    </w:p>
    <w:p>
      <w:pPr>
        <w:spacing w:line="360" w:lineRule="auto" w:before="160" w:after="80"/>
        <w:ind w:firstLine="0"/>
        <w:jc w:val="left"/>
      </w:pPr>
      <w:r>
        <w:rPr>
          <w:rFonts w:ascii="Times New Roman" w:hAnsi="Times New Roman" w:eastAsia="宋体"/>
          <w:b/>
          <w:sz w:val="28"/>
        </w:rPr>
        <w:t>1. 按序号1中的遴选推荐规则进行；</w:t>
      </w:r>
    </w:p>
    <w:p>
      <w:pPr>
        <w:spacing w:line="360" w:lineRule="auto" w:before="160" w:after="80"/>
        <w:ind w:firstLine="0"/>
        <w:jc w:val="left"/>
      </w:pPr>
      <w:r>
        <w:rPr>
          <w:rFonts w:ascii="Times New Roman" w:hAnsi="Times New Roman" w:eastAsia="宋体"/>
          <w:b/>
          <w:sz w:val="28"/>
        </w:rPr>
        <w:t>2. 剩余3个名额：各专业（食品科学与工程、食品营养与健康、食品质量与安全）按综合成绩高低排序各遴选推荐1名。</w:t>
      </w:r>
    </w:p>
    <w:p>
      <w:pPr>
        <w:spacing w:line="360" w:lineRule="auto" w:before="160" w:after="80"/>
        <w:ind w:firstLine="0"/>
        <w:jc w:val="left"/>
      </w:pPr>
      <w:r>
        <w:rPr>
          <w:rFonts w:ascii="Times New Roman" w:hAnsi="Times New Roman" w:eastAsia="宋体"/>
          <w:b/>
          <w:sz w:val="28"/>
        </w:rPr>
        <w:t>1. 优先从食品科学与工程专业未被推荐学生中遴选备选1名；</w:t>
      </w:r>
    </w:p>
    <w:p>
      <w:pPr>
        <w:spacing w:line="360" w:lineRule="auto" w:before="160" w:after="80"/>
        <w:ind w:firstLine="0"/>
        <w:jc w:val="left"/>
      </w:pPr>
      <w:r>
        <w:rPr>
          <w:rFonts w:ascii="Times New Roman" w:hAnsi="Times New Roman" w:eastAsia="宋体"/>
          <w:b/>
          <w:sz w:val="28"/>
        </w:rPr>
        <w:t>2. 剩下名额从食品营养与健康、食品质量与安全专业未被遴选推荐学生中共同遴选备选（两专业中综合成绩高者获得）。</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