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数理教学部推荐优秀应届本科毕业生免试攻读研究生工作实施细则-河北地质大学 数理教学部</w:t>
      </w:r>
    </w:p>
    <w:p>
      <w:pPr>
        <w:spacing w:after="80" w:lineRule="auto" w:line="360"/>
        <w:ind w:firstLine="482"/>
        <w:jc w:val="both"/>
      </w:pPr>
      <w:r>
        <w:rPr>
          <w:rFonts w:ascii="Times New Roman" w:hAnsi="Times New Roman" w:eastAsia="宋体"/>
          <w:b w:val="0"/>
          <w:sz w:val="24"/>
        </w:rPr>
        <w:t>按照《河北地质大学推荐优秀应届本科毕业生免试攻读研究生工作管理办法》（校发〔2025〕88号）文件要求，数理教学部制定推荐优秀应届本科毕业生免试攻读研究生工作具体实施细则如下。</w:t>
      </w:r>
    </w:p>
    <w:p>
      <w:pPr>
        <w:spacing w:after="80" w:lineRule="auto" w:line="360"/>
        <w:ind w:firstLine="482"/>
        <w:jc w:val="both"/>
      </w:pPr>
      <w:r>
        <w:rPr>
          <w:rFonts w:ascii="Times New Roman" w:hAnsi="Times New Roman" w:eastAsia="宋体"/>
          <w:b w:val="0"/>
          <w:sz w:val="24"/>
        </w:rPr>
        <w:t>发布日期（推定）：2025年8月31日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组 长：李占乔、董昌州</w:t>
      </w:r>
    </w:p>
    <w:p>
      <w:pPr>
        <w:spacing w:after="80" w:lineRule="auto" w:line="360"/>
        <w:ind w:firstLine="482"/>
        <w:jc w:val="both"/>
      </w:pPr>
      <w:r>
        <w:rPr>
          <w:rFonts w:ascii="Times New Roman" w:hAnsi="Times New Roman" w:eastAsia="宋体"/>
          <w:b w:val="0"/>
          <w:sz w:val="24"/>
        </w:rPr>
        <w:t>副组长：张凝宁、史训立、高立民</w:t>
      </w:r>
    </w:p>
    <w:p>
      <w:pPr>
        <w:spacing w:after="80" w:lineRule="auto" w:line="360"/>
        <w:ind w:firstLine="482"/>
        <w:jc w:val="both"/>
      </w:pPr>
      <w:r>
        <w:rPr>
          <w:rFonts w:ascii="Times New Roman" w:hAnsi="Times New Roman" w:eastAsia="宋体"/>
          <w:b w:val="0"/>
          <w:sz w:val="24"/>
        </w:rPr>
        <w:t>秘 书：梁静宇、沈玮玮</w:t>
      </w:r>
    </w:p>
    <w:p>
      <w:pPr>
        <w:spacing w:after="80" w:lineRule="auto" w:line="360"/>
        <w:ind w:firstLine="482"/>
        <w:jc w:val="both"/>
      </w:pPr>
      <w:r>
        <w:rPr>
          <w:rFonts w:ascii="Times New Roman" w:hAnsi="Times New Roman" w:eastAsia="宋体"/>
          <w:b w:val="0"/>
          <w:sz w:val="24"/>
        </w:rPr>
        <w:t>成 员：李伟、吴雅丽、曲静、高英、杨延强、李亚宁</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教学部总名额执行《河北地质大学推荐免试研究生指标分配方案》。统筹考虑各专业应届毕业生规模、学科专业层次、人才培养质量等因素，在分配推免名额时，经过集体研究、集体决策，确保名额分配的公平性和科学性。</w:t>
      </w:r>
    </w:p>
    <w:p>
      <w:pPr>
        <w:spacing w:before="160" w:after="80" w:lineRule="auto" w:line="360"/>
        <w:jc w:val="left"/>
      </w:pPr>
      <w:r>
        <w:rPr>
          <w:rFonts w:ascii="Times New Roman" w:hAnsi="Times New Roman" w:eastAsia="宋体"/>
          <w:b/>
          <w:sz w:val="28"/>
        </w:rPr>
        <w:t>三、推免条件</w:t>
      </w:r>
    </w:p>
    <w:p>
      <w:pPr>
        <w:spacing w:after="80" w:lineRule="auto" w:line="360"/>
        <w:ind w:firstLine="482"/>
        <w:jc w:val="both"/>
      </w:pPr>
      <w:r>
        <w:rPr>
          <w:rFonts w:ascii="Times New Roman" w:hAnsi="Times New Roman" w:eastAsia="宋体"/>
          <w:b w:val="0"/>
          <w:sz w:val="24"/>
        </w:rPr>
        <w:t>申请推免资格的应届本科生须同时满足以下基本条件：</w:t>
      </w:r>
    </w:p>
    <w:p>
      <w:pPr>
        <w:spacing w:after="80" w:lineRule="auto" w:line="360"/>
        <w:ind w:firstLine="482"/>
        <w:jc w:val="both"/>
      </w:pPr>
      <w:r>
        <w:rPr>
          <w:rFonts w:ascii="Times New Roman" w:hAnsi="Times New Roman" w:eastAsia="宋体"/>
          <w:b w:val="0"/>
          <w:sz w:val="24"/>
        </w:rPr>
        <w:t>1. 思想政治与品德：拥护中国共产党的领导，践行社会主义核心价值观，具有高尚的爱国主义情操和集体主义精神；社会责任感强，思想积极向上，身心健康。</w:t>
      </w:r>
    </w:p>
    <w:p>
      <w:pPr>
        <w:spacing w:after="80" w:lineRule="auto" w:line="360"/>
        <w:ind w:firstLine="482"/>
        <w:jc w:val="both"/>
      </w:pPr>
      <w:r>
        <w:rPr>
          <w:rFonts w:ascii="Times New Roman" w:hAnsi="Times New Roman" w:eastAsia="宋体"/>
          <w:b w:val="0"/>
          <w:sz w:val="24"/>
        </w:rPr>
        <w:t>2. 遵纪守法与学术诚信：遵守国家法律法规及校纪校规，诚实守信，品行优良；无任何考试作弊、剽窃他人学术成果等行为，无违法违纪受处分记录。</w:t>
      </w:r>
    </w:p>
    <w:p>
      <w:pPr>
        <w:spacing w:after="80" w:lineRule="auto" w:line="360"/>
        <w:ind w:firstLine="482"/>
        <w:jc w:val="both"/>
      </w:pPr>
      <w:r>
        <w:rPr>
          <w:rFonts w:ascii="Times New Roman" w:hAnsi="Times New Roman" w:eastAsia="宋体"/>
          <w:b w:val="0"/>
          <w:sz w:val="24"/>
        </w:rPr>
        <w:t>3. 学业态度与专业素养：热爱所学专业，学风严谨端正，勤奋刻苦，成绩优秀；具备扎实的专业基础知识和突出的学术研究兴趣、创新意识和专业实践能力。</w:t>
      </w:r>
    </w:p>
    <w:p>
      <w:pPr>
        <w:spacing w:after="80" w:lineRule="auto" w:line="360"/>
        <w:ind w:firstLine="482"/>
        <w:jc w:val="both"/>
      </w:pPr>
      <w:r>
        <w:rPr>
          <w:rFonts w:ascii="Times New Roman" w:hAnsi="Times New Roman" w:eastAsia="宋体"/>
          <w:b w:val="0"/>
          <w:sz w:val="24"/>
        </w:rPr>
        <w:t>4. 课程修读与成绩要求：修完前六学期教学计划规定的全部课程（不含辅修及双学位课程）；在申报时无不及格课程。</w:t>
      </w:r>
    </w:p>
    <w:p>
      <w:pPr>
        <w:spacing w:after="80" w:lineRule="auto" w:line="360"/>
        <w:ind w:firstLine="482"/>
        <w:jc w:val="both"/>
      </w:pPr>
      <w:r>
        <w:rPr>
          <w:rFonts w:ascii="Times New Roman" w:hAnsi="Times New Roman" w:eastAsia="宋体"/>
          <w:b w:val="0"/>
          <w:sz w:val="24"/>
        </w:rPr>
        <w:t>5. 学业排名与外语水平：学业成绩（必修课加权平均成绩）位列本专业应届毕业生前20%（含）。全国大学英语四级考试成绩425分及以上（小语种学生参照执行），或TOFEL成绩80分及以上、雅思成绩5.5分及以上。</w:t>
      </w:r>
    </w:p>
    <w:p>
      <w:pPr>
        <w:spacing w:after="80" w:lineRule="auto" w:line="360"/>
        <w:ind w:firstLine="482"/>
        <w:jc w:val="both"/>
      </w:pPr>
      <w:r>
        <w:rPr>
          <w:rFonts w:ascii="Times New Roman" w:hAnsi="Times New Roman" w:eastAsia="宋体"/>
          <w:b w:val="0"/>
          <w:sz w:val="24"/>
        </w:rPr>
        <w:t>6. 身体健康。</w:t>
      </w:r>
    </w:p>
    <w:p>
      <w:pPr>
        <w:spacing w:before="160" w:after="80" w:lineRule="auto" w:line="360"/>
        <w:jc w:val="left"/>
      </w:pPr>
      <w:r>
        <w:rPr>
          <w:rFonts w:ascii="Times New Roman" w:hAnsi="Times New Roman" w:eastAsia="宋体"/>
          <w:b/>
          <w:sz w:val="28"/>
        </w:rPr>
        <w:t>四、推免成绩计算办法</w:t>
      </w:r>
    </w:p>
    <w:p>
      <w:pPr>
        <w:spacing w:after="80" w:lineRule="auto" w:line="360"/>
        <w:ind w:firstLine="482"/>
        <w:jc w:val="both"/>
      </w:pPr>
      <w:r>
        <w:rPr>
          <w:rFonts w:ascii="Times New Roman" w:hAnsi="Times New Roman" w:eastAsia="宋体"/>
          <w:b w:val="0"/>
          <w:sz w:val="24"/>
        </w:rPr>
        <w:t>遴选考核成绩由学业成绩（占比85%）和综合能力成绩（占比15%）构成，计算公式为：</w:t>
      </w:r>
    </w:p>
    <w:p>
      <w:pPr>
        <w:spacing w:after="80" w:lineRule="auto" w:line="360"/>
        <w:ind w:firstLine="482"/>
        <w:jc w:val="both"/>
      </w:pPr>
      <w:r>
        <w:rPr>
          <w:rFonts w:ascii="Times New Roman" w:hAnsi="Times New Roman" w:eastAsia="宋体"/>
          <w:b w:val="0"/>
          <w:sz w:val="24"/>
        </w:rPr>
        <w:t>遴选考核成绩=学业成绩（推免生必修课加权平均成绩）×85%+综合能力成绩（综合能力成绩满分15分，累计超过15分按15分计）。</w:t>
      </w:r>
    </w:p>
    <w:p>
      <w:pPr>
        <w:spacing w:after="80" w:lineRule="auto" w:line="360"/>
        <w:ind w:firstLine="482"/>
        <w:jc w:val="both"/>
      </w:pPr>
      <w:r>
        <w:rPr>
          <w:rFonts w:ascii="Times New Roman" w:hAnsi="Times New Roman" w:eastAsia="宋体"/>
          <w:b w:val="0"/>
          <w:sz w:val="24"/>
        </w:rPr>
        <w:t>学业成绩=∑（必修课成绩×课程学分）/∑必修课学分。</w:t>
      </w:r>
    </w:p>
    <w:p>
      <w:pPr>
        <w:spacing w:after="80" w:lineRule="auto" w:line="360"/>
        <w:ind w:firstLine="482"/>
        <w:jc w:val="both"/>
      </w:pPr>
      <w:r>
        <w:rPr>
          <w:rFonts w:ascii="Times New Roman" w:hAnsi="Times New Roman" w:eastAsia="宋体"/>
          <w:b w:val="0"/>
          <w:sz w:val="24"/>
        </w:rPr>
        <w:t>注：必修课成绩使用本门课程首次成绩。</w:t>
      </w:r>
    </w:p>
    <w:p>
      <w:pPr>
        <w:spacing w:after="80" w:lineRule="auto" w:line="360"/>
        <w:ind w:firstLine="482"/>
        <w:jc w:val="both"/>
      </w:pPr>
      <w:r>
        <w:rPr>
          <w:rFonts w:ascii="Times New Roman" w:hAnsi="Times New Roman" w:eastAsia="宋体"/>
          <w:b w:val="0"/>
          <w:sz w:val="24"/>
        </w:rPr>
        <w:t>综合能力成绩包括参军入伍、志愿服务、到国际组织实习、学科竞赛、科研创新共五个方面，每个方面每名同学只记一次分，不累计计分。所有成果都应是本科在校期间取得（统计截止到2025年8月31日），对于有争议的成果由专家审核小组统一讨论决定。</w:t>
      </w:r>
    </w:p>
    <w:p>
      <w:pPr>
        <w:spacing w:after="80" w:lineRule="auto" w:line="360"/>
        <w:ind w:firstLine="482"/>
        <w:jc w:val="both"/>
      </w:pPr>
      <w:r>
        <w:rPr>
          <w:rFonts w:ascii="Times New Roman" w:hAnsi="Times New Roman" w:eastAsia="宋体"/>
          <w:b w:val="0"/>
          <w:sz w:val="24"/>
        </w:rPr>
        <w:t>1. 参军入伍服兵役</w:t>
      </w:r>
    </w:p>
    <w:p>
      <w:pPr>
        <w:spacing w:after="80" w:lineRule="auto" w:line="360"/>
        <w:ind w:firstLine="482"/>
        <w:jc w:val="both"/>
      </w:pPr>
      <w:r>
        <w:rPr>
          <w:rFonts w:ascii="Times New Roman" w:hAnsi="Times New Roman" w:eastAsia="宋体"/>
          <w:b w:val="0"/>
          <w:sz w:val="24"/>
        </w:rPr>
        <w:t>对按照规定的服役周期节点退出现役的本科生加1分。对在部队获评“四有”优秀士兵、优秀士官的，加2分；服役期间立功者，荣立三等功加3分、荣立二等功加4分、荣立一等功加5分。</w:t>
      </w:r>
    </w:p>
    <w:p>
      <w:pPr>
        <w:spacing w:after="80" w:lineRule="auto" w:line="360"/>
        <w:ind w:firstLine="482"/>
        <w:jc w:val="both"/>
      </w:pPr>
      <w:r>
        <w:rPr>
          <w:rFonts w:ascii="Times New Roman" w:hAnsi="Times New Roman" w:eastAsia="宋体"/>
          <w:b w:val="0"/>
          <w:sz w:val="24"/>
        </w:rPr>
        <w:t>2. 参加志愿服务</w:t>
      </w:r>
    </w:p>
    <w:p>
      <w:pPr>
        <w:spacing w:after="80" w:lineRule="auto" w:line="360"/>
        <w:ind w:firstLine="482"/>
        <w:jc w:val="both"/>
      </w:pPr>
      <w:r>
        <w:rPr>
          <w:rFonts w:ascii="Times New Roman" w:hAnsi="Times New Roman" w:eastAsia="宋体"/>
          <w:b w:val="0"/>
          <w:sz w:val="24"/>
        </w:rPr>
        <w:t>本科生参加国际性或全国大型活动、赛事、会议的志愿服务，服务期间表现突出，且招募信息由河北地质大学官方发布并进行名单公布的，可予以加分。加分标准为0.5分/次。</w:t>
      </w:r>
    </w:p>
    <w:p>
      <w:pPr>
        <w:spacing w:after="80" w:lineRule="auto" w:line="360"/>
        <w:ind w:firstLine="482"/>
        <w:jc w:val="both"/>
      </w:pPr>
      <w:r>
        <w:rPr>
          <w:rFonts w:ascii="Times New Roman" w:hAnsi="Times New Roman" w:eastAsia="宋体"/>
          <w:b w:val="0"/>
          <w:sz w:val="24"/>
        </w:rPr>
        <w:t>3. 到国际组织实习</w:t>
      </w:r>
    </w:p>
    <w:p>
      <w:pPr>
        <w:spacing w:after="80" w:lineRule="auto" w:line="360"/>
        <w:ind w:firstLine="482"/>
        <w:jc w:val="both"/>
      </w:pPr>
      <w:r>
        <w:rPr>
          <w:rFonts w:ascii="Times New Roman" w:hAnsi="Times New Roman" w:eastAsia="宋体"/>
          <w:b w:val="0"/>
          <w:sz w:val="24"/>
        </w:rPr>
        <w:t>本科生通过学校选拔推荐并通过国家留学基金委或教育部国际司的官方遴选到国际组织实习，申请推免时已完成不少于两个月的实习工作（以国际组织实习录用函、实习证明为准），可予以加分。加分标准为1分/次。</w:t>
      </w:r>
    </w:p>
    <w:p>
      <w:pPr>
        <w:spacing w:after="80" w:lineRule="auto" w:line="360"/>
        <w:ind w:firstLine="482"/>
        <w:jc w:val="both"/>
      </w:pPr>
      <w:r>
        <w:rPr>
          <w:rFonts w:ascii="Times New Roman" w:hAnsi="Times New Roman" w:eastAsia="宋体"/>
          <w:b w:val="0"/>
          <w:sz w:val="24"/>
        </w:rPr>
        <w:t>4. 学科竞赛获奖</w:t>
      </w:r>
    </w:p>
    <w:p>
      <w:pPr>
        <w:spacing w:after="80" w:lineRule="auto" w:line="360"/>
        <w:ind w:firstLine="482"/>
        <w:jc w:val="both"/>
      </w:pPr>
      <w:r>
        <w:rPr>
          <w:rFonts w:ascii="Times New Roman" w:hAnsi="Times New Roman" w:eastAsia="宋体"/>
          <w:b w:val="0"/>
          <w:sz w:val="24"/>
        </w:rPr>
        <w:t>本科生作为主力队员（证书/红头文件额定人员）参加最新一期《全国普通高校大学生竞赛分析报告》中所列竞赛目录中的竞赛且获得省级一等奖及以上奖励予以加分（竞赛获奖等级以该项赛事当年的奖项设置为依据）。</w:t>
      </w:r>
    </w:p>
    <w:p>
      <w:pPr>
        <w:spacing w:after="80" w:lineRule="auto" w:line="360"/>
        <w:ind w:firstLine="482"/>
        <w:jc w:val="both"/>
      </w:pPr>
      <w:r>
        <w:rPr>
          <w:rFonts w:ascii="Times New Roman" w:hAnsi="Times New Roman" w:eastAsia="宋体"/>
          <w:b w:val="0"/>
          <w:sz w:val="24"/>
        </w:rPr>
        <w:t>省级获奖仅排名第一的学生计分；国家级获奖排前三名学生计分，其中第一名分数占60%，第二名分数占30%，第三名分数占10%（以获奖证书或获奖通知上排序为准）。</w:t>
      </w:r>
    </w:p>
    <w:p>
      <w:pPr>
        <w:spacing w:after="80" w:lineRule="auto" w:line="360"/>
        <w:ind w:firstLine="482"/>
        <w:jc w:val="both"/>
      </w:pPr>
      <w:r>
        <w:rPr>
          <w:rFonts w:ascii="Times New Roman" w:hAnsi="Times New Roman" w:eastAsia="宋体"/>
          <w:b w:val="0"/>
          <w:sz w:val="24"/>
        </w:rPr>
        <w:t>竞赛级别认定按照学校认定结果执行，具体加分细则见表1。</w:t>
      </w:r>
    </w:p>
    <w:p>
      <w:pPr>
        <w:spacing w:after="80" w:lineRule="auto" w:line="360"/>
        <w:ind w:firstLine="482"/>
        <w:jc w:val="both"/>
      </w:pPr>
      <w:r>
        <w:rPr>
          <w:rFonts w:ascii="Times New Roman" w:hAnsi="Times New Roman" w:eastAsia="宋体"/>
          <w:b w:val="0"/>
          <w:sz w:val="24"/>
        </w:rPr>
        <w:t>表1 学科竞赛获奖加分细则</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竞赛级别</w:t>
            </w:r>
          </w:p>
        </w:tc>
        <w:tc>
          <w:tcPr>
            <w:tcW w:type="dxa" w:w="1727"/>
          </w:tcPr>
          <w:p>
            <w:pPr>
              <w:spacing w:after="20" w:before="20"/>
            </w:pPr>
            <w:r/>
            <w:r>
              <w:rPr>
                <w:rFonts w:ascii="Times New Roman" w:hAnsi="Times New Roman" w:eastAsia="宋体"/>
                <w:b/>
                <w:sz w:val="21"/>
              </w:rPr>
              <w:t>一等奖</w:t>
            </w:r>
          </w:p>
        </w:tc>
        <w:tc>
          <w:tcPr>
            <w:tcW w:type="dxa" w:w="1727"/>
          </w:tcPr>
          <w:p>
            <w:pPr>
              <w:spacing w:after="20" w:before="20"/>
            </w:pPr>
            <w:r/>
            <w:r>
              <w:rPr>
                <w:rFonts w:ascii="Times New Roman" w:hAnsi="Times New Roman" w:eastAsia="宋体"/>
                <w:b/>
                <w:sz w:val="21"/>
              </w:rPr>
              <w:t>二等奖</w:t>
            </w:r>
          </w:p>
        </w:tc>
        <w:tc>
          <w:tcPr>
            <w:tcW w:type="dxa" w:w="1727"/>
          </w:tcPr>
          <w:p>
            <w:pPr>
              <w:spacing w:after="20" w:before="20"/>
            </w:pPr>
            <w:r/>
            <w:r>
              <w:rPr>
                <w:rFonts w:ascii="Times New Roman" w:hAnsi="Times New Roman" w:eastAsia="宋体"/>
                <w:b/>
                <w:sz w:val="21"/>
              </w:rPr>
              <w:t>三等奖</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排名前5竞赛国家级</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国家级</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2.5</w:t>
            </w:r>
          </w:p>
        </w:tc>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r>
          </w:p>
        </w:tc>
      </w:tr>
      <w:tr>
        <w:tc>
          <w:tcPr>
            <w:tcW w:type="dxa" w:w="1727"/>
          </w:tcPr>
          <w:p>
            <w:pPr>
              <w:spacing w:after="20" w:before="20"/>
            </w:pPr>
            <w:r/>
            <w:r>
              <w:rPr>
                <w:rFonts w:ascii="Times New Roman" w:hAnsi="Times New Roman" w:eastAsia="宋体"/>
                <w:b w:val="0"/>
                <w:sz w:val="21"/>
              </w:rPr>
              <w:t>省部级</w:t>
            </w:r>
          </w:p>
        </w:tc>
        <w:tc>
          <w:tcPr>
            <w:tcW w:type="dxa" w:w="1727"/>
          </w:tcPr>
          <w:p>
            <w:pPr>
              <w:spacing w:after="20" w:before="20"/>
            </w:pPr>
            <w:r/>
            <w:r>
              <w:rPr>
                <w:rFonts w:ascii="Times New Roman" w:hAnsi="Times New Roman" w:eastAsia="宋体"/>
                <w:b w:val="0"/>
                <w:sz w:val="21"/>
              </w:rPr>
              <w:t>0.6</w:t>
            </w:r>
          </w:p>
        </w:tc>
        <w:tc>
          <w:tcPr>
            <w:tcW w:type="dxa" w:w="1727"/>
          </w:tcPr>
          <w:p>
            <w:pPr>
              <w:spacing w:after="20" w:before="20"/>
            </w:pPr>
            <w:r/>
            <w:r>
              <w:rPr>
                <w:rFonts w:ascii="Times New Roman" w:hAnsi="Times New Roman" w:eastAsia="宋体"/>
                <w:b w:val="0"/>
                <w:sz w:val="21"/>
              </w:rPr>
              <w:t>0</w:t>
            </w:r>
          </w:p>
        </w:tc>
        <w:tc>
          <w:tcPr>
            <w:tcW w:type="dxa" w:w="1727"/>
          </w:tcPr>
          <w:p>
            <w:pPr>
              <w:spacing w:after="20" w:before="20"/>
            </w:pPr>
            <w:r/>
            <w:r>
              <w:rPr>
                <w:rFonts w:ascii="Times New Roman" w:hAnsi="Times New Roman" w:eastAsia="宋体"/>
                <w:b w:val="0"/>
                <w:sz w:val="21"/>
              </w:rPr>
              <w:t>0</w:t>
            </w:r>
          </w:p>
        </w:tc>
        <w:tc>
          <w:tcPr>
            <w:tcW w:type="dxa" w:w="1727"/>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注：全国大学生数学竞赛（数学类）全国决赛获奖按照国家级认定，全国大学生数学竞赛（数学类）全国初赛获奖按照省部级认定。</w:t>
      </w:r>
    </w:p>
    <w:p>
      <w:pPr>
        <w:spacing w:after="80" w:lineRule="auto" w:line="360"/>
        <w:ind w:firstLine="482"/>
        <w:jc w:val="both"/>
      </w:pPr>
      <w:r>
        <w:rPr>
          <w:rFonts w:ascii="Times New Roman" w:hAnsi="Times New Roman" w:eastAsia="宋体"/>
          <w:b w:val="0"/>
          <w:sz w:val="24"/>
        </w:rPr>
        <w:t>5. 科研创新成果</w:t>
      </w:r>
    </w:p>
    <w:p>
      <w:pPr>
        <w:spacing w:after="80" w:lineRule="auto" w:line="360"/>
        <w:ind w:firstLine="482"/>
        <w:jc w:val="both"/>
      </w:pPr>
      <w:r>
        <w:rPr>
          <w:rFonts w:ascii="Times New Roman" w:hAnsi="Times New Roman" w:eastAsia="宋体"/>
          <w:b w:val="0"/>
          <w:sz w:val="24"/>
        </w:rPr>
        <w:t>包含发表文章、发明专利。其中发表文章须见刊（检索论文需有检索证明）并以我校为论文第一单位，第一作者或第一通讯作者计分，可加分范围以科技处提供文章范围为准（中文核心、中科院分区），中科院分区论文应提供检索证明。授权发明专利需要以我校为第一完成单位。</w:t>
      </w:r>
    </w:p>
    <w:p>
      <w:pPr>
        <w:spacing w:after="80" w:lineRule="auto" w:line="360"/>
        <w:ind w:firstLine="482"/>
        <w:jc w:val="both"/>
      </w:pPr>
      <w:r>
        <w:rPr>
          <w:rFonts w:ascii="Times New Roman" w:hAnsi="Times New Roman" w:eastAsia="宋体"/>
          <w:b w:val="0"/>
          <w:sz w:val="24"/>
        </w:rPr>
        <w:t>论文、专利具体加分细则见表2、表3。</w:t>
      </w:r>
    </w:p>
    <w:p>
      <w:pPr>
        <w:spacing w:after="80" w:lineRule="auto" w:line="360"/>
        <w:ind w:firstLine="482"/>
        <w:jc w:val="both"/>
      </w:pPr>
      <w:r>
        <w:rPr>
          <w:rFonts w:ascii="Times New Roman" w:hAnsi="Times New Roman" w:eastAsia="宋体"/>
          <w:b w:val="0"/>
          <w:sz w:val="24"/>
        </w:rPr>
        <w:t>表2 学术论文发表加分细则</w:t>
      </w:r>
    </w:p>
    <w:tbl>
      <w:tblPr>
        <w:tblStyle w:val="TableGrid"/>
        <w:tblW w:type="auto" w:w="0"/>
        <w:jc w:val="center"/>
        <w:tblLook w:firstColumn="1" w:firstRow="1" w:lastColumn="0" w:lastRow="0" w:noHBand="0" w:noVBand="1" w:val="04A0"/>
      </w:tblPr>
      <w:tblGrid>
        <w:gridCol w:w="1233"/>
        <w:gridCol w:w="1233"/>
        <w:gridCol w:w="1233"/>
        <w:gridCol w:w="1233"/>
        <w:gridCol w:w="1233"/>
        <w:gridCol w:w="1233"/>
        <w:gridCol w:w="1233"/>
      </w:tblGrid>
      <w:tr>
        <w:tc>
          <w:tcPr>
            <w:tcW w:type="dxa" w:w="1233"/>
          </w:tcPr>
          <w:p>
            <w:pPr>
              <w:spacing w:after="20" w:before="20"/>
            </w:pPr>
            <w:r/>
            <w:r>
              <w:rPr>
                <w:rFonts w:ascii="Times New Roman" w:hAnsi="Times New Roman" w:eastAsia="宋体"/>
                <w:b/>
                <w:sz w:val="21"/>
              </w:rPr>
              <w:t>级别</w:t>
            </w:r>
          </w:p>
        </w:tc>
        <w:tc>
          <w:tcPr>
            <w:tcW w:type="dxa" w:w="1233"/>
          </w:tcPr>
          <w:p>
            <w:pPr>
              <w:spacing w:after="20" w:before="20"/>
            </w:pPr>
            <w:r/>
            <w:r>
              <w:rPr>
                <w:rFonts w:ascii="Times New Roman" w:hAnsi="Times New Roman" w:eastAsia="宋体"/>
                <w:b/>
                <w:sz w:val="21"/>
              </w:rPr>
              <w:t>1区</w:t>
            </w:r>
          </w:p>
        </w:tc>
        <w:tc>
          <w:tcPr>
            <w:tcW w:type="dxa" w:w="1233"/>
          </w:tcPr>
          <w:p>
            <w:pPr>
              <w:spacing w:after="20" w:before="20"/>
            </w:pPr>
            <w:r/>
            <w:r>
              <w:rPr>
                <w:rFonts w:ascii="Times New Roman" w:hAnsi="Times New Roman" w:eastAsia="宋体"/>
                <w:b/>
                <w:sz w:val="21"/>
              </w:rPr>
              <w:t>2区</w:t>
            </w:r>
          </w:p>
        </w:tc>
        <w:tc>
          <w:tcPr>
            <w:tcW w:type="dxa" w:w="1233"/>
          </w:tcPr>
          <w:p>
            <w:pPr>
              <w:spacing w:after="20" w:before="20"/>
            </w:pPr>
            <w:r/>
            <w:r>
              <w:rPr>
                <w:rFonts w:ascii="Times New Roman" w:hAnsi="Times New Roman" w:eastAsia="宋体"/>
                <w:b/>
                <w:sz w:val="21"/>
              </w:rPr>
              <w:t>3区</w:t>
            </w:r>
          </w:p>
        </w:tc>
        <w:tc>
          <w:tcPr>
            <w:tcW w:type="dxa" w:w="1233"/>
          </w:tcPr>
          <w:p>
            <w:pPr>
              <w:spacing w:after="20" w:before="20"/>
            </w:pPr>
            <w:r/>
            <w:r>
              <w:rPr>
                <w:rFonts w:ascii="Times New Roman" w:hAnsi="Times New Roman" w:eastAsia="宋体"/>
                <w:b/>
                <w:sz w:val="21"/>
              </w:rPr>
              <w:t>中文双核</w:t>
            </w:r>
          </w:p>
        </w:tc>
        <w:tc>
          <w:tcPr>
            <w:tcW w:type="dxa" w:w="1233"/>
          </w:tcPr>
          <w:p>
            <w:pPr>
              <w:spacing w:after="20" w:before="20"/>
            </w:pPr>
            <w:r/>
            <w:r>
              <w:rPr>
                <w:rFonts w:ascii="Times New Roman" w:hAnsi="Times New Roman" w:eastAsia="宋体"/>
                <w:b/>
                <w:sz w:val="21"/>
              </w:rPr>
              <w:t>4区、EI、北核</w:t>
            </w:r>
          </w:p>
        </w:tc>
        <w:tc>
          <w:tcPr>
            <w:tcW w:type="dxa" w:w="1233"/>
          </w:tcPr>
          <w:p>
            <w:pPr>
              <w:spacing w:after="20" w:before="20"/>
            </w:pPr>
            <w:r/>
            <w:r>
              <w:rPr>
                <w:rFonts w:ascii="Times New Roman" w:hAnsi="Times New Roman" w:eastAsia="宋体"/>
                <w:b/>
                <w:sz w:val="21"/>
              </w:rPr>
              <w:t>备注</w:t>
            </w:r>
          </w:p>
        </w:tc>
      </w:tr>
      <w:tr>
        <w:tc>
          <w:tcPr>
            <w:tcW w:type="dxa" w:w="1233"/>
          </w:tcPr>
          <w:p>
            <w:pPr>
              <w:spacing w:after="20" w:before="20"/>
            </w:pPr>
            <w:r/>
            <w:r>
              <w:rPr>
                <w:rFonts w:ascii="Times New Roman" w:hAnsi="Times New Roman" w:eastAsia="宋体"/>
                <w:b w:val="0"/>
                <w:sz w:val="21"/>
              </w:rPr>
              <w:t>分值</w:t>
            </w:r>
          </w:p>
        </w:tc>
        <w:tc>
          <w:tcPr>
            <w:tcW w:type="dxa" w:w="1233"/>
          </w:tcPr>
          <w:p>
            <w:pPr>
              <w:spacing w:after="20" w:before="20"/>
            </w:pPr>
            <w:r/>
            <w:r>
              <w:rPr>
                <w:rFonts w:ascii="Times New Roman" w:hAnsi="Times New Roman" w:eastAsia="宋体"/>
                <w:b w:val="0"/>
                <w:sz w:val="21"/>
              </w:rPr>
              <w:t>5</w:t>
            </w:r>
          </w:p>
        </w:tc>
        <w:tc>
          <w:tcPr>
            <w:tcW w:type="dxa" w:w="1233"/>
          </w:tcPr>
          <w:p>
            <w:pPr>
              <w:spacing w:after="20" w:before="20"/>
            </w:pPr>
            <w:r/>
            <w:r>
              <w:rPr>
                <w:rFonts w:ascii="Times New Roman" w:hAnsi="Times New Roman" w:eastAsia="宋体"/>
                <w:b w:val="0"/>
                <w:sz w:val="21"/>
              </w:rPr>
              <w:t>4</w:t>
            </w:r>
          </w:p>
        </w:tc>
        <w:tc>
          <w:tcPr>
            <w:tcW w:type="dxa" w:w="1233"/>
          </w:tcPr>
          <w:p>
            <w:pPr>
              <w:spacing w:after="20" w:before="20"/>
            </w:pPr>
            <w:r/>
            <w:r>
              <w:rPr>
                <w:rFonts w:ascii="Times New Roman" w:hAnsi="Times New Roman" w:eastAsia="宋体"/>
                <w:b w:val="0"/>
                <w:sz w:val="21"/>
              </w:rPr>
              <w:t>3</w:t>
            </w:r>
          </w:p>
        </w:tc>
        <w:tc>
          <w:tcPr>
            <w:tcW w:type="dxa" w:w="1233"/>
          </w:tcPr>
          <w:p>
            <w:pPr>
              <w:spacing w:after="20" w:before="20"/>
            </w:pPr>
            <w:r/>
            <w:r>
              <w:rPr>
                <w:rFonts w:ascii="Times New Roman" w:hAnsi="Times New Roman" w:eastAsia="宋体"/>
                <w:b w:val="0"/>
                <w:sz w:val="21"/>
              </w:rPr>
              <w:t>2</w:t>
            </w:r>
          </w:p>
        </w:tc>
        <w:tc>
          <w:tcPr>
            <w:tcW w:type="dxa" w:w="1233"/>
          </w:tcPr>
          <w:p>
            <w:pPr>
              <w:spacing w:after="20" w:before="20"/>
            </w:pPr>
            <w:r/>
            <w:r>
              <w:rPr>
                <w:rFonts w:ascii="Times New Roman" w:hAnsi="Times New Roman" w:eastAsia="宋体"/>
                <w:b w:val="0"/>
                <w:sz w:val="21"/>
              </w:rPr>
              <w:t>1</w:t>
            </w:r>
          </w:p>
        </w:tc>
        <w:tc>
          <w:tcPr>
            <w:tcW w:type="dxa" w:w="1233"/>
          </w:tcPr>
          <w:p>
            <w:pPr>
              <w:spacing w:after="20" w:before="20"/>
            </w:pPr>
            <w:r/>
            <w:r>
              <w:rPr>
                <w:rFonts w:ascii="Times New Roman" w:hAnsi="Times New Roman" w:eastAsia="宋体"/>
                <w:b w:val="0"/>
                <w:sz w:val="21"/>
              </w:rPr>
              <w:t>中科院分区</w:t>
            </w:r>
          </w:p>
        </w:tc>
      </w:tr>
    </w:tbl>
    <w:p>
      <w:pPr>
        <w:spacing w:after="80" w:lineRule="auto" w:line="360"/>
        <w:ind w:firstLine="482"/>
        <w:jc w:val="both"/>
      </w:pPr>
      <w:r>
        <w:rPr>
          <w:rFonts w:ascii="Times New Roman" w:hAnsi="Times New Roman" w:eastAsia="宋体"/>
          <w:b w:val="0"/>
          <w:sz w:val="24"/>
        </w:rPr>
        <w:t>表3 发明专利加分细则</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级别</w:t>
            </w:r>
          </w:p>
        </w:tc>
        <w:tc>
          <w:tcPr>
            <w:tcW w:type="dxa" w:w="1727"/>
          </w:tcPr>
          <w:p>
            <w:pPr>
              <w:spacing w:after="20" w:before="20"/>
            </w:pPr>
            <w:r/>
            <w:r>
              <w:rPr>
                <w:rFonts w:ascii="Times New Roman" w:hAnsi="Times New Roman" w:eastAsia="宋体"/>
                <w:b/>
                <w:sz w:val="21"/>
              </w:rPr>
              <w:t>发明专利</w:t>
            </w:r>
          </w:p>
        </w:tc>
        <w:tc>
          <w:tcPr>
            <w:tcW w:type="dxa" w:w="1727"/>
          </w:tcPr>
          <w:p>
            <w:pPr>
              <w:spacing w:after="20" w:before="20"/>
            </w:pPr>
            <w:r/>
            <w:r>
              <w:rPr>
                <w:rFonts w:ascii="Times New Roman" w:hAnsi="Times New Roman" w:eastAsia="宋体"/>
                <w:b/>
                <w:sz w:val="21"/>
              </w:rPr>
              <w:t>实用新型</w:t>
            </w:r>
          </w:p>
        </w:tc>
        <w:tc>
          <w:tcPr>
            <w:tcW w:type="dxa" w:w="1727"/>
          </w:tcPr>
          <w:p>
            <w:pPr>
              <w:spacing w:after="20" w:before="20"/>
            </w:pPr>
            <w:r/>
            <w:r>
              <w:rPr>
                <w:rFonts w:ascii="Times New Roman" w:hAnsi="Times New Roman" w:eastAsia="宋体"/>
                <w:b/>
                <w:sz w:val="21"/>
              </w:rPr>
              <w:t>软件著作权</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分值</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t>0.1</w:t>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五、推免工作程序</w:t>
      </w:r>
    </w:p>
    <w:p>
      <w:pPr>
        <w:spacing w:after="80" w:lineRule="auto" w:line="360"/>
        <w:ind w:firstLine="482"/>
        <w:jc w:val="both"/>
      </w:pPr>
      <w:r>
        <w:rPr>
          <w:rFonts w:ascii="Times New Roman" w:hAnsi="Times New Roman" w:eastAsia="宋体"/>
          <w:b w:val="0"/>
          <w:sz w:val="24"/>
        </w:rPr>
        <w:t>1. 学生申报</w:t>
      </w:r>
    </w:p>
    <w:p>
      <w:pPr>
        <w:spacing w:after="80" w:lineRule="auto" w:line="360"/>
        <w:ind w:firstLine="482"/>
        <w:jc w:val="both"/>
      </w:pPr>
      <w:r>
        <w:rPr>
          <w:rFonts w:ascii="Times New Roman" w:hAnsi="Times New Roman" w:eastAsia="宋体"/>
          <w:b w:val="0"/>
          <w:sz w:val="24"/>
        </w:rPr>
        <w:t>学生自愿申请，请在2025年9月4日12点前提交纸质版和电子版的《河北地质大学推免生申请表》及相关支撑材料（身份证、成绩单、外语成绩证明、竞赛获奖证书、科研成果证明等原件及复印件），纸质版请交到实验楼332办公室，电子版材料请发到邮箱：1274964635@qq.com。</w:t>
      </w:r>
    </w:p>
    <w:p>
      <w:pPr>
        <w:spacing w:after="80" w:lineRule="auto" w:line="360"/>
        <w:ind w:firstLine="482"/>
        <w:jc w:val="both"/>
      </w:pPr>
      <w:r>
        <w:rPr>
          <w:rFonts w:ascii="Times New Roman" w:hAnsi="Times New Roman" w:eastAsia="宋体"/>
          <w:b w:val="0"/>
          <w:sz w:val="24"/>
        </w:rPr>
        <w:t>2. 教学部审核</w:t>
      </w:r>
    </w:p>
    <w:p>
      <w:pPr>
        <w:spacing w:after="80" w:lineRule="auto" w:line="360"/>
        <w:ind w:firstLine="482"/>
        <w:jc w:val="both"/>
      </w:pPr>
      <w:r>
        <w:rPr>
          <w:rFonts w:ascii="Times New Roman" w:hAnsi="Times New Roman" w:eastAsia="宋体"/>
          <w:b w:val="0"/>
          <w:sz w:val="24"/>
        </w:rPr>
        <w:t>教学部专家评审审核小组在学校规定的时间内完成材料审核和现场答辩。推荐工作小组对申请者政治立场、学术道德、日常表现等进行综合评定。</w:t>
      </w:r>
    </w:p>
    <w:p>
      <w:pPr>
        <w:spacing w:after="80" w:lineRule="auto" w:line="360"/>
        <w:ind w:firstLine="482"/>
        <w:jc w:val="both"/>
      </w:pPr>
      <w:r>
        <w:rPr>
          <w:rFonts w:ascii="Times New Roman" w:hAnsi="Times New Roman" w:eastAsia="宋体"/>
          <w:b w:val="0"/>
          <w:sz w:val="24"/>
        </w:rPr>
        <w:t>3. 教学部确定拟推荐名单并公示</w:t>
      </w:r>
    </w:p>
    <w:p>
      <w:pPr>
        <w:spacing w:after="80" w:lineRule="auto" w:line="360"/>
        <w:ind w:firstLine="482"/>
        <w:jc w:val="both"/>
      </w:pPr>
      <w:r>
        <w:rPr>
          <w:rFonts w:ascii="Times New Roman" w:hAnsi="Times New Roman" w:eastAsia="宋体"/>
          <w:b w:val="0"/>
          <w:sz w:val="24"/>
        </w:rPr>
        <w:t>教学部结合综合评定，按遴选考核成绩总分排序确定拟推荐名单，经教学部推荐工作小组审定后在教学部网站进行公示（公示内容修改后需重新公示3日）。</w:t>
      </w:r>
    </w:p>
    <w:p>
      <w:pPr>
        <w:spacing w:before="160" w:after="80" w:lineRule="auto" w:line="360"/>
        <w:jc w:val="left"/>
      </w:pPr>
      <w:r>
        <w:rPr>
          <w:rFonts w:ascii="Times New Roman" w:hAnsi="Times New Roman" w:eastAsia="宋体"/>
          <w:b/>
          <w:sz w:val="28"/>
        </w:rPr>
        <w:t>六、其他</w:t>
      </w:r>
    </w:p>
    <w:p>
      <w:pPr>
        <w:spacing w:after="80" w:lineRule="auto" w:line="360"/>
        <w:ind w:firstLine="482"/>
        <w:jc w:val="both"/>
      </w:pPr>
      <w:r>
        <w:rPr>
          <w:rFonts w:ascii="Times New Roman" w:hAnsi="Times New Roman" w:eastAsia="宋体"/>
          <w:b w:val="0"/>
          <w:sz w:val="24"/>
        </w:rPr>
        <w:t>1. 教学部专家审核小组对申请推免资格学生的科研创新成果、论文、竞赛获奖奖项及内容进行审核认定，未通过审核认定，不得纳入推免遴选综合评价成绩计算体系。</w:t>
      </w:r>
    </w:p>
    <w:p>
      <w:pPr>
        <w:spacing w:after="80" w:lineRule="auto" w:line="360"/>
        <w:ind w:firstLine="482"/>
        <w:jc w:val="both"/>
      </w:pPr>
      <w:r>
        <w:rPr>
          <w:rFonts w:ascii="Times New Roman" w:hAnsi="Times New Roman" w:eastAsia="宋体"/>
          <w:b w:val="0"/>
          <w:sz w:val="24"/>
        </w:rPr>
        <w:t>2. 学生与直系亲属或学历、职称、职务明显高于本人者合作的科研成果、竞赛奖励等仅作为参考，不纳入学生本人推免遴选综合评价成绩计算体系，同等条件下可优先考虑。</w:t>
      </w:r>
    </w:p>
    <w:p>
      <w:pPr>
        <w:spacing w:after="80" w:lineRule="auto" w:line="360"/>
        <w:ind w:firstLine="482"/>
        <w:jc w:val="both"/>
      </w:pPr>
      <w:r>
        <w:rPr>
          <w:rFonts w:ascii="Times New Roman" w:hAnsi="Times New Roman" w:eastAsia="宋体"/>
          <w:b w:val="0"/>
          <w:sz w:val="24"/>
        </w:rPr>
        <w:t>3. 对在申请过程中存在材料造假、抄袭剽窃、冒名顶替或成果虚报等行为的学生，查实后立即取消推免资格，并依照《河北地质大学学生违纪处分办法》严肃处理。</w:t>
      </w:r>
    </w:p>
    <w:p>
      <w:pPr>
        <w:spacing w:after="80" w:lineRule="auto" w:line="360"/>
        <w:ind w:firstLine="482"/>
        <w:jc w:val="both"/>
      </w:pPr>
      <w:r>
        <w:rPr>
          <w:rFonts w:ascii="Times New Roman" w:hAnsi="Times New Roman" w:eastAsia="宋体"/>
          <w:b w:val="0"/>
          <w:sz w:val="24"/>
        </w:rPr>
        <w:t>4. 获得推免资格的学生，在毕业前有以下情况者，取消其推免资格：</w:t>
      </w:r>
    </w:p>
    <w:p>
      <w:pPr>
        <w:spacing w:after="80" w:lineRule="auto" w:line="360"/>
        <w:ind w:firstLine="482"/>
        <w:jc w:val="both"/>
      </w:pPr>
      <w:r>
        <w:rPr>
          <w:rFonts w:ascii="Times New Roman" w:hAnsi="Times New Roman" w:eastAsia="宋体"/>
          <w:b w:val="0"/>
          <w:sz w:val="24"/>
        </w:rPr>
        <w:t>（1）最后一学年出现课程考核成绩不及格或毕业论文（设计）未通过者；</w:t>
      </w:r>
    </w:p>
    <w:p>
      <w:pPr>
        <w:spacing w:after="80" w:lineRule="auto" w:line="360"/>
        <w:ind w:firstLine="482"/>
        <w:jc w:val="both"/>
      </w:pPr>
      <w:r>
        <w:rPr>
          <w:rFonts w:ascii="Times New Roman" w:hAnsi="Times New Roman" w:eastAsia="宋体"/>
          <w:b w:val="0"/>
          <w:sz w:val="24"/>
        </w:rPr>
        <w:t>（2）受到纪律处分者；</w:t>
      </w:r>
    </w:p>
    <w:p>
      <w:pPr>
        <w:spacing w:after="80" w:lineRule="auto" w:line="360"/>
        <w:ind w:firstLine="482"/>
        <w:jc w:val="both"/>
      </w:pPr>
      <w:r>
        <w:rPr>
          <w:rFonts w:ascii="Times New Roman" w:hAnsi="Times New Roman" w:eastAsia="宋体"/>
          <w:b w:val="0"/>
          <w:sz w:val="24"/>
        </w:rPr>
        <w:t>（3）未取得学士学位者；</w:t>
      </w:r>
    </w:p>
    <w:p>
      <w:pPr>
        <w:spacing w:after="80" w:lineRule="auto" w:line="360"/>
        <w:ind w:firstLine="482"/>
        <w:jc w:val="both"/>
      </w:pPr>
      <w:r>
        <w:rPr>
          <w:rFonts w:ascii="Times New Roman" w:hAnsi="Times New Roman" w:eastAsia="宋体"/>
          <w:b w:val="0"/>
          <w:sz w:val="24"/>
        </w:rPr>
        <w:t>（4）自愿放弃者；自愿放弃者需提交手写书面声明，并由学生本人、辅导员、学院（部）党政负责人签字确认。</w:t>
      </w:r>
    </w:p>
    <w:p>
      <w:pPr>
        <w:spacing w:after="80" w:lineRule="auto" w:line="360"/>
        <w:ind w:firstLine="482"/>
        <w:jc w:val="both"/>
      </w:pPr>
      <w:r>
        <w:rPr>
          <w:rFonts w:ascii="Times New Roman" w:hAnsi="Times New Roman" w:eastAsia="宋体"/>
          <w:b w:val="0"/>
          <w:sz w:val="24"/>
        </w:rPr>
        <w:t>5. 获得推免资格的学生，均享有依据招生政策自主选择报考招生单位和专业的权利；已被录取的不得参加当年硕士研究生的报名和考试。</w:t>
      </w:r>
    </w:p>
    <w:p>
      <w:pPr>
        <w:spacing w:after="80" w:lineRule="auto" w:line="360"/>
        <w:ind w:firstLine="482"/>
        <w:jc w:val="both"/>
      </w:pPr>
      <w:r>
        <w:rPr>
          <w:rFonts w:ascii="Times New Roman" w:hAnsi="Times New Roman" w:eastAsia="宋体"/>
          <w:b w:val="0"/>
          <w:sz w:val="24"/>
        </w:rPr>
        <w:t>6. 参与推免工作的相关人员（包括推免生遴选工作领导小组成员、评审专家、管理人员等）如有直系亲属、三代以内旁系亲属或利害关系人报名参加本单位推免选拔工作，应当主动申请回避。</w:t>
      </w:r>
    </w:p>
    <w:p>
      <w:pPr>
        <w:spacing w:after="80" w:lineRule="auto" w:line="360"/>
        <w:ind w:firstLine="482"/>
        <w:jc w:val="both"/>
      </w:pPr>
      <w:r>
        <w:rPr>
          <w:rFonts w:ascii="Times New Roman" w:hAnsi="Times New Roman" w:eastAsia="宋体"/>
          <w:b w:val="0"/>
          <w:sz w:val="24"/>
        </w:rPr>
        <w:t>7. 未尽事宜按照《河北地质大学推荐优秀应届本科毕业生免试攻读研究生工作管理办法》（校发〔2025〕88号）执行。</w:t>
      </w:r>
    </w:p>
    <w:p>
      <w:pPr>
        <w:spacing w:after="80" w:lineRule="auto" w:line="360"/>
        <w:ind w:firstLine="482"/>
        <w:jc w:val="both"/>
      </w:pPr>
      <w:r>
        <w:rPr>
          <w:rFonts w:ascii="Times New Roman" w:hAnsi="Times New Roman" w:eastAsia="宋体"/>
          <w:b w:val="0"/>
          <w:sz w:val="24"/>
        </w:rPr>
        <w:t>8. 本实施细则由数理教学部负责解释。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