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化材学院关于做好2026年推荐优秀应届本科毕业生免试攻读研究生工作的通知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化材学院关于做好2026年推荐优秀应届本科毕业生免试攻读研究生工作的通知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发布日期（推定）：2025年9月2日</w:t>
      </w:r>
    </w:p>
    <w:p>
      <w:pPr>
        <w:spacing w:after="80" w:lineRule="auto" w:line="360"/>
        <w:ind w:firstLine="482"/>
        <w:jc w:val="both"/>
      </w:pPr>
      <w:r>
        <w:rPr>
          <w:rFonts w:ascii="Times New Roman" w:hAnsi="Times New Roman" w:eastAsia="宋体"/>
          <w:b w:val="0"/>
          <w:sz w:val="24"/>
        </w:rPr>
        <w:t>为做好我院2026年推荐优秀应届本科毕业生免试攻读研究生工作（以下简称“推免”），根据教育部相关文件及《浙江农林大学关于推荐优秀应届本科毕业生免试攻读研究生工作实施办法（试行）》（浙农林大〔2025〕89号）、《化学与材料工程学院推荐优秀应届本科毕业生免试攻读研究生工作实施细则（试行）》，现将有关事项通知如下：</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学院成立推免生遴选工作小组，负责全院推免生遴选工作的具体实施。学院纪委对此次推免生工作进行全程监督。</w:t>
      </w:r>
    </w:p>
    <w:p>
      <w:pPr>
        <w:spacing w:after="80" w:lineRule="auto" w:line="360"/>
        <w:ind w:firstLine="482"/>
        <w:jc w:val="both"/>
      </w:pPr>
      <w:r>
        <w:rPr>
          <w:rFonts w:ascii="Times New Roman" w:hAnsi="Times New Roman" w:eastAsia="宋体"/>
          <w:b w:val="0"/>
          <w:sz w:val="24"/>
        </w:rPr>
        <w:t>学院成立推免生遴选审核小组，负责对申请推免资格学生的学科竞赛、论文、专利等成果及内容进行审核鉴定，是否存在抄袭、造假、冒名及有名无实等学术不端情况，并给出审核结果。</w:t>
      </w:r>
    </w:p>
    <w:p>
      <w:pPr>
        <w:spacing w:before="160" w:after="80" w:lineRule="auto" w:line="360"/>
        <w:jc w:val="left"/>
      </w:pPr>
      <w:r>
        <w:rPr>
          <w:rFonts w:ascii="Times New Roman" w:hAnsi="Times New Roman" w:eastAsia="宋体"/>
          <w:b/>
          <w:sz w:val="28"/>
        </w:rPr>
        <w:t>二、推荐名额</w:t>
      </w:r>
    </w:p>
    <w:p>
      <w:pPr>
        <w:spacing w:after="80" w:lineRule="auto" w:line="360"/>
        <w:ind w:firstLine="482"/>
        <w:jc w:val="both"/>
      </w:pPr>
      <w:r>
        <w:rPr>
          <w:rFonts w:ascii="Times New Roman" w:hAnsi="Times New Roman" w:eastAsia="宋体"/>
          <w:b w:val="0"/>
          <w:sz w:val="24"/>
        </w:rPr>
        <w:t>根据学校下达的2026年各专业推免人数指标如下：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专业名称</w:t>
            </w:r>
          </w:p>
        </w:tc>
        <w:tc>
          <w:tcPr>
            <w:tcW w:type="dxa" w:w="4317"/>
          </w:tcPr>
          <w:p>
            <w:pPr>
              <w:spacing w:after="20" w:before="20"/>
            </w:pPr>
            <w:r/>
            <w:r>
              <w:rPr>
                <w:rFonts w:ascii="Times New Roman" w:hAnsi="Times New Roman" w:eastAsia="宋体"/>
                <w:b/>
                <w:sz w:val="21"/>
              </w:rPr>
              <w:t>推荐名额</w:t>
            </w:r>
          </w:p>
        </w:tc>
      </w:tr>
      <w:tr>
        <w:tc>
          <w:tcPr>
            <w:tcW w:type="dxa" w:w="4317"/>
          </w:tcPr>
          <w:p>
            <w:pPr>
              <w:spacing w:after="20" w:before="20"/>
            </w:pPr>
            <w:r/>
            <w:r>
              <w:rPr>
                <w:rFonts w:ascii="Times New Roman" w:hAnsi="Times New Roman" w:eastAsia="宋体"/>
                <w:b w:val="0"/>
                <w:sz w:val="21"/>
              </w:rPr>
              <w:t>高分子材料与工程</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家具设计与工程</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木材科学与工程</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应用化学</w:t>
            </w:r>
          </w:p>
        </w:tc>
        <w:tc>
          <w:tcPr>
            <w:tcW w:type="dxa" w:w="4317"/>
          </w:tcPr>
          <w:p>
            <w:pPr>
              <w:spacing w:after="20" w:before="20"/>
            </w:pPr>
            <w:r/>
            <w:r>
              <w:rPr>
                <w:rFonts w:ascii="Times New Roman" w:hAnsi="Times New Roman" w:eastAsia="宋体"/>
                <w:b w:val="0"/>
                <w:sz w:val="21"/>
              </w:rPr>
              <w:t>2</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