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材料学院2026年推荐优秀应届本科毕业生 免试攻读硕士研究生实施细则</w:t>
      </w:r>
    </w:p>
    <w:p>
      <w:pPr>
        <w:spacing w:after="80" w:lineRule="auto" w:line="360"/>
        <w:ind w:firstLine="482"/>
        <w:jc w:val="both"/>
      </w:pPr>
      <w:r>
        <w:rPr>
          <w:rFonts w:ascii="Times New Roman" w:hAnsi="Times New Roman" w:eastAsia="宋体"/>
          <w:b w:val="0"/>
          <w:sz w:val="24"/>
        </w:rPr>
        <w:t>为规范学院推荐优秀应届本科毕业生免试攻读硕士学位（以下简称推免生）工作，根据教育部《全国普通高校推荐优秀本科毕业生免试攻读硕士学位研究生工作管理办法（试行）》（教学〔2006〕14 号）、教育部办公厅《关于进一步规范和加强推荐优秀应届本科毕业生免试攻读研究生工作的通知》（教育厅〔2020〕12 号）和华北水利水电大学关于印发《华北水利水电大学推荐免试攻读硕士学位研究生实施办法》的通知（华水政〔2023〕173号）等文件精神，结合学院实际，制定本细则。</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一、推免工作领导小组</w:t>
      </w:r>
    </w:p>
    <w:p>
      <w:pPr>
        <w:spacing w:after="80" w:lineRule="auto" w:line="360"/>
        <w:ind w:firstLine="482"/>
        <w:jc w:val="both"/>
      </w:pPr>
      <w:r>
        <w:rPr>
          <w:rFonts w:ascii="Times New Roman" w:hAnsi="Times New Roman" w:eastAsia="宋体"/>
          <w:b w:val="0"/>
          <w:sz w:val="24"/>
        </w:rPr>
        <w:t>学院成立推免生遴选工作小组，负责推荐组织实施工作。工作小组由院长任组长，主管教学副院长任副组长，主管科研副院长、各系（教研室）负责人、学业导师、辅导员、教师代表为成员，秘书由教学办公室主任兼任，学院纪委书记负责监督。</w:t>
      </w:r>
    </w:p>
    <w:p>
      <w:pPr>
        <w:spacing w:before="160" w:after="80" w:lineRule="auto" w:line="360"/>
        <w:jc w:val="left"/>
      </w:pPr>
      <w:r>
        <w:rPr>
          <w:rFonts w:ascii="Times New Roman" w:hAnsi="Times New Roman" w:eastAsia="宋体"/>
          <w:b/>
          <w:sz w:val="28"/>
        </w:rPr>
        <w:t>二、推免对象和推免名额</w:t>
      </w:r>
    </w:p>
    <w:p>
      <w:pPr>
        <w:spacing w:after="80" w:lineRule="auto" w:line="360"/>
        <w:ind w:firstLine="482"/>
        <w:jc w:val="both"/>
      </w:pPr>
      <w:r>
        <w:rPr>
          <w:rFonts w:ascii="Times New Roman" w:hAnsi="Times New Roman" w:eastAsia="宋体"/>
          <w:b w:val="0"/>
          <w:sz w:val="24"/>
        </w:rPr>
        <w:t>1、推免生应当是纳入国家普通全日制本科招生计划录取的应届毕业学生（不含第二学士学位学生）。</w:t>
      </w:r>
    </w:p>
    <w:p>
      <w:pPr>
        <w:spacing w:after="80" w:lineRule="auto" w:line="360"/>
        <w:ind w:firstLine="482"/>
        <w:jc w:val="both"/>
      </w:pPr>
      <w:r>
        <w:rPr>
          <w:rFonts w:ascii="Times New Roman" w:hAnsi="Times New Roman" w:eastAsia="宋体"/>
          <w:b w:val="0"/>
          <w:sz w:val="24"/>
        </w:rPr>
        <w:t>2、学院按学校下达的指标等额推荐，并按所分配名额的20%比例推荐候补人选。</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1、思想品德优良，遵纪守法，诚实守信，社会责任感强，在校期间没有违法违纪违规行为，未受到学校任何纪律处分。</w:t>
      </w:r>
    </w:p>
    <w:p>
      <w:pPr>
        <w:spacing w:after="80" w:lineRule="auto" w:line="360"/>
        <w:ind w:firstLine="482"/>
        <w:jc w:val="both"/>
      </w:pPr>
      <w:r>
        <w:rPr>
          <w:rFonts w:ascii="Times New Roman" w:hAnsi="Times New Roman" w:eastAsia="宋体"/>
          <w:b w:val="0"/>
          <w:sz w:val="24"/>
        </w:rPr>
        <w:t>2、身体健康，国家体质测试达标，学校体育测试合格。</w:t>
      </w:r>
    </w:p>
    <w:p>
      <w:pPr>
        <w:spacing w:after="80" w:lineRule="auto" w:line="360"/>
        <w:ind w:firstLine="482"/>
        <w:jc w:val="both"/>
      </w:pPr>
      <w:r>
        <w:rPr>
          <w:rFonts w:ascii="Times New Roman" w:hAnsi="Times New Roman" w:eastAsia="宋体"/>
          <w:b w:val="0"/>
          <w:sz w:val="24"/>
        </w:rPr>
        <w:t>3、有较强的学习能力、实践能力、思维能力，以及科研创新潜质和创新精神。</w:t>
      </w:r>
    </w:p>
    <w:p>
      <w:pPr>
        <w:spacing w:after="80" w:lineRule="auto" w:line="360"/>
        <w:ind w:firstLine="482"/>
        <w:jc w:val="both"/>
      </w:pPr>
      <w:r>
        <w:rPr>
          <w:rFonts w:ascii="Times New Roman" w:hAnsi="Times New Roman" w:eastAsia="宋体"/>
          <w:b w:val="0"/>
          <w:sz w:val="24"/>
        </w:rPr>
        <w:t>（二）学业条件</w:t>
      </w:r>
    </w:p>
    <w:p>
      <w:pPr>
        <w:spacing w:after="80" w:lineRule="auto" w:line="360"/>
        <w:ind w:firstLine="482"/>
        <w:jc w:val="both"/>
      </w:pPr>
      <w:r>
        <w:rPr>
          <w:rFonts w:ascii="Times New Roman" w:hAnsi="Times New Roman" w:eastAsia="宋体"/>
          <w:b w:val="0"/>
          <w:sz w:val="24"/>
        </w:rPr>
        <w:t>1、勤奋学习，基础扎实，完成大学前 6 个学期专业培养方案规定的各项学业任务，考核成绩优秀，平均学分绩点在3.0（保留两位有效数字）以上（含3.0），并且专业学习绩点排名前 20％（或者专业综合排名前 20%），学分绩点计算以课程的首次成绩为准；</w:t>
      </w:r>
    </w:p>
    <w:p>
      <w:pPr>
        <w:spacing w:after="80" w:lineRule="auto" w:line="360"/>
        <w:ind w:firstLine="482"/>
        <w:jc w:val="both"/>
      </w:pPr>
      <w:r>
        <w:rPr>
          <w:rFonts w:ascii="Times New Roman" w:hAnsi="Times New Roman" w:eastAsia="宋体"/>
          <w:b w:val="0"/>
          <w:sz w:val="24"/>
        </w:rPr>
        <w:t>2、无不及格记录；</w:t>
      </w:r>
    </w:p>
    <w:p>
      <w:pPr>
        <w:spacing w:after="80" w:lineRule="auto" w:line="360"/>
        <w:ind w:firstLine="482"/>
        <w:jc w:val="both"/>
      </w:pPr>
      <w:r>
        <w:rPr>
          <w:rFonts w:ascii="Times New Roman" w:hAnsi="Times New Roman" w:eastAsia="宋体"/>
          <w:b w:val="0"/>
          <w:sz w:val="24"/>
        </w:rPr>
        <w:t>3、通过全国大学外语四级考试（英语考试四级成绩不低于425分）。</w:t>
      </w:r>
    </w:p>
    <w:p>
      <w:pPr>
        <w:spacing w:before="160" w:after="80" w:lineRule="auto" w:line="360"/>
        <w:jc w:val="left"/>
      </w:pPr>
      <w:r>
        <w:rPr>
          <w:rFonts w:ascii="Times New Roman" w:hAnsi="Times New Roman" w:eastAsia="宋体"/>
          <w:b/>
          <w:sz w:val="28"/>
        </w:rPr>
        <w:t>四、特殊学术专长</w:t>
      </w:r>
    </w:p>
    <w:p>
      <w:pPr>
        <w:spacing w:after="80" w:lineRule="auto" w:line="360"/>
        <w:ind w:firstLine="482"/>
        <w:jc w:val="both"/>
      </w:pPr>
      <w:r>
        <w:rPr>
          <w:rFonts w:ascii="Times New Roman" w:hAnsi="Times New Roman" w:eastAsia="宋体"/>
          <w:b w:val="0"/>
          <w:sz w:val="24"/>
        </w:rPr>
        <w:t>特殊学术专长仅限学生本科阶段在核心期刊上以独立作者或第一作者发表的、以学校为第一单位的与学业相关的科研论文；作为主力成员参加与学业相关的国内权威科研竞赛（全国赛）并获得三等奖以上奖励。</w:t>
      </w:r>
    </w:p>
    <w:p>
      <w:pPr>
        <w:spacing w:after="80" w:lineRule="auto" w:line="360"/>
        <w:ind w:firstLine="482"/>
        <w:jc w:val="both"/>
      </w:pPr>
      <w:r>
        <w:rPr>
          <w:rFonts w:ascii="Times New Roman" w:hAnsi="Times New Roman" w:eastAsia="宋体"/>
          <w:b w:val="0"/>
          <w:sz w:val="24"/>
        </w:rPr>
        <w:t>（一）论文计分原则</w:t>
      </w:r>
    </w:p>
    <w:p>
      <w:pPr>
        <w:spacing w:after="80" w:lineRule="auto" w:line="360"/>
        <w:ind w:firstLine="482"/>
        <w:jc w:val="both"/>
      </w:pPr>
      <w:r>
        <w:rPr>
          <w:rFonts w:ascii="Times New Roman" w:hAnsi="Times New Roman" w:eastAsia="宋体"/>
          <w:b w:val="0"/>
          <w:sz w:val="24"/>
        </w:rPr>
        <w:t>1、以独立作者或第一作者公开发表且见刊的中文核心（北大）以上期刊论文方可计分，均需提供论文收录证明，论文等级以论文录用时的官方认定等级为准；</w:t>
      </w:r>
    </w:p>
    <w:p>
      <w:pPr>
        <w:spacing w:after="80" w:lineRule="auto" w:line="360"/>
        <w:ind w:firstLine="482"/>
        <w:jc w:val="both"/>
      </w:pPr>
      <w:r>
        <w:rPr>
          <w:rFonts w:ascii="Times New Roman" w:hAnsi="Times New Roman" w:eastAsia="宋体"/>
          <w:b w:val="0"/>
          <w:sz w:val="24"/>
        </w:rPr>
        <w:t>2. 论文定级标准见表1。</w:t>
      </w:r>
    </w:p>
    <w:p>
      <w:pPr>
        <w:spacing w:after="80" w:lineRule="auto" w:line="360"/>
        <w:ind w:firstLine="482"/>
        <w:jc w:val="both"/>
      </w:pPr>
      <w:r>
        <w:rPr>
          <w:rFonts w:ascii="Times New Roman" w:hAnsi="Times New Roman" w:eastAsia="宋体"/>
          <w:b w:val="0"/>
          <w:sz w:val="24"/>
        </w:rPr>
        <w:t>表1 论文计分标准</w:t>
      </w:r>
    </w:p>
    <w:p>
      <w:pPr>
        <w:spacing w:after="80" w:lineRule="auto" w:line="360"/>
        <w:ind w:firstLine="482"/>
        <w:jc w:val="both"/>
      </w:pPr>
      <w:r>
        <w:rPr>
          <w:rFonts w:ascii="Times New Roman" w:hAnsi="Times New Roman" w:eastAsia="宋体"/>
          <w:b w:val="0"/>
          <w:sz w:val="24"/>
        </w:rPr>
        <w:t>（二）竞赛计分原则</w:t>
      </w:r>
    </w:p>
    <w:p>
      <w:pPr>
        <w:spacing w:after="80" w:lineRule="auto" w:line="360"/>
        <w:ind w:firstLine="482"/>
        <w:jc w:val="both"/>
      </w:pPr>
      <w:r>
        <w:rPr>
          <w:rFonts w:ascii="Times New Roman" w:hAnsi="Times New Roman" w:eastAsia="宋体"/>
          <w:b w:val="0"/>
          <w:sz w:val="24"/>
        </w:rPr>
        <w:t>1、学生代表华北水利水电大学参与学业相关的国内权威科研竞赛（全国赛）方可计分。国内权威科研竞赛以学生获得竞赛奖励当年的《全国普通高校大学生竞赛分析报告》竞赛目录为准；</w:t>
      </w:r>
    </w:p>
    <w:p>
      <w:pPr>
        <w:spacing w:after="80" w:lineRule="auto" w:line="360"/>
        <w:ind w:firstLine="482"/>
        <w:jc w:val="both"/>
      </w:pPr>
      <w:r>
        <w:rPr>
          <w:rFonts w:ascii="Times New Roman" w:hAnsi="Times New Roman" w:eastAsia="宋体"/>
          <w:b w:val="0"/>
          <w:sz w:val="24"/>
        </w:rPr>
        <w:t>2、竞赛计分=竞赛获奖类型分值J × 获奖排名系数P。</w:t>
      </w:r>
    </w:p>
    <w:p>
      <w:pPr>
        <w:spacing w:after="80" w:lineRule="auto" w:line="360"/>
        <w:ind w:firstLine="482"/>
        <w:jc w:val="both"/>
      </w:pPr>
      <w:r>
        <w:rPr>
          <w:rFonts w:ascii="Times New Roman" w:hAnsi="Times New Roman" w:eastAsia="宋体"/>
          <w:b w:val="0"/>
          <w:sz w:val="24"/>
        </w:rPr>
        <w:t>表2 竞赛获奖类型分值J</w:t>
      </w:r>
    </w:p>
    <w:p>
      <w:pPr>
        <w:spacing w:after="80" w:lineRule="auto" w:line="360"/>
        <w:ind w:firstLine="482"/>
        <w:jc w:val="both"/>
      </w:pPr>
      <w:r>
        <w:rPr>
          <w:rFonts w:ascii="Times New Roman" w:hAnsi="Times New Roman" w:eastAsia="宋体"/>
          <w:b w:val="0"/>
          <w:sz w:val="24"/>
        </w:rPr>
        <w:t>注：若比赛不显示等第，只有名次，则第1名按一等奖，2、3名按二等奖，4-6名按三等奖计；有特等奖按一等奖计算，以此类推。</w:t>
      </w:r>
    </w:p>
    <w:p>
      <w:pPr>
        <w:spacing w:after="80" w:lineRule="auto" w:line="360"/>
        <w:ind w:firstLine="482"/>
        <w:jc w:val="both"/>
      </w:pPr>
      <w:r>
        <w:rPr>
          <w:rFonts w:ascii="Times New Roman" w:hAnsi="Times New Roman" w:eastAsia="宋体"/>
          <w:b w:val="0"/>
          <w:sz w:val="24"/>
        </w:rPr>
        <w:t>3、获奖排名系数P：若为团体获奖的，则成员按排名位次不同计分。排名第1的P=1，排名第2的P=0.6，排名第3的P=0.4，排名第4的P=0.2，排名第5及以后P=0.1。</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学生与直系亲属或学历、职称、职务明显高于本人者合作的科研成果、竞赛奖项等仅作为参考，不纳入学生本人推荐遴选综合评价成绩计算体系，同等条件下可优先推荐。</w:t>
      </w:r>
    </w:p>
    <w:p>
      <w:pPr>
        <w:spacing w:before="160" w:after="80" w:lineRule="auto" w:line="360"/>
        <w:jc w:val="left"/>
      </w:pPr>
      <w:r>
        <w:rPr>
          <w:rFonts w:ascii="Times New Roman" w:hAnsi="Times New Roman" w:eastAsia="宋体"/>
          <w:b/>
          <w:sz w:val="28"/>
        </w:rPr>
        <w:t>五、特殊学术专长的审核认定</w:t>
      </w:r>
    </w:p>
    <w:p>
      <w:pPr>
        <w:spacing w:after="80" w:lineRule="auto" w:line="360"/>
        <w:ind w:firstLine="482"/>
        <w:jc w:val="both"/>
      </w:pPr>
      <w:r>
        <w:rPr>
          <w:rFonts w:ascii="Times New Roman" w:hAnsi="Times New Roman" w:eastAsia="宋体"/>
          <w:b w:val="0"/>
          <w:sz w:val="24"/>
        </w:rPr>
        <w:t>特殊学术专长评价由材料学院推荐免试攻读硕士学位研究生工作小组根据学生提交的申请材料组织专家审核小组进行审查认定。专家审核小组由学院副高级职称及以上教师组成，不少于5人。</w:t>
      </w:r>
    </w:p>
    <w:p>
      <w:pPr>
        <w:spacing w:before="160" w:after="80" w:lineRule="auto" w:line="360"/>
        <w:jc w:val="left"/>
      </w:pPr>
      <w:r>
        <w:rPr>
          <w:rFonts w:ascii="Times New Roman" w:hAnsi="Times New Roman" w:eastAsia="宋体"/>
          <w:b/>
          <w:sz w:val="28"/>
        </w:rPr>
        <w:t>六、推免名额分配</w:t>
      </w:r>
    </w:p>
    <w:p>
      <w:pPr>
        <w:spacing w:after="80" w:lineRule="auto" w:line="360"/>
        <w:ind w:firstLine="482"/>
        <w:jc w:val="both"/>
      </w:pPr>
      <w:r>
        <w:rPr>
          <w:rFonts w:ascii="Times New Roman" w:hAnsi="Times New Roman" w:eastAsia="宋体"/>
          <w:b w:val="0"/>
          <w:sz w:val="24"/>
        </w:rPr>
        <w:t>推免名额向省级一流专业倾斜，具体指标如下：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专业名称</w:t>
            </w:r>
          </w:p>
        </w:tc>
        <w:tc>
          <w:tcPr>
            <w:tcW w:type="dxa" w:w="2878"/>
          </w:tcPr>
          <w:p>
            <w:pPr>
              <w:spacing w:after="20" w:before="20"/>
            </w:pPr>
            <w:r/>
            <w:r>
              <w:rPr>
                <w:rFonts w:ascii="Times New Roman" w:hAnsi="Times New Roman" w:eastAsia="宋体"/>
                <w:b/>
                <w:sz w:val="21"/>
              </w:rPr>
              <w:t>拟推免人数</w:t>
            </w:r>
          </w:p>
        </w:tc>
        <w:tc>
          <w:tcPr>
            <w:tcW w:type="dxa" w:w="2878"/>
          </w:tcPr>
          <w:p>
            <w:pPr>
              <w:spacing w:after="20" w:before="20"/>
            </w:pPr>
            <w:r/>
            <w:r>
              <w:rPr>
                <w:rFonts w:ascii="Times New Roman" w:hAnsi="Times New Roman" w:eastAsia="宋体"/>
                <w:b/>
                <w:sz w:val="21"/>
              </w:rPr>
              <w:t>拟候补人数</w:t>
            </w:r>
          </w:p>
        </w:tc>
      </w:tr>
      <w:tr>
        <w:tc>
          <w:tcPr>
            <w:tcW w:type="dxa" w:w="2878"/>
          </w:tcPr>
          <w:p>
            <w:pPr>
              <w:spacing w:after="20" w:before="20"/>
            </w:pPr>
            <w:r/>
            <w:r>
              <w:rPr>
                <w:rFonts w:ascii="Times New Roman" w:hAnsi="Times New Roman" w:eastAsia="宋体"/>
                <w:b w:val="0"/>
                <w:sz w:val="21"/>
              </w:rPr>
              <w:t>材料成型及控制工程</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无机非金属材料工程</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资源循环科学与工程</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