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数学与统计学院2026年度优秀应届本科毕业生免试攻读研究生工作细则-数学与统计学院</w:t>
      </w:r>
    </w:p>
    <w:p>
      <w:pPr>
        <w:spacing w:after="80" w:lineRule="auto" w:line="360"/>
        <w:ind w:firstLine="482"/>
        <w:jc w:val="both"/>
      </w:pPr>
      <w:r>
        <w:rPr>
          <w:rFonts w:ascii="Times New Roman" w:hAnsi="Times New Roman" w:eastAsia="宋体"/>
          <w:b w:val="0"/>
          <w:sz w:val="24"/>
        </w:rPr>
        <w:t>数学与统计学院2026年度优秀应届本科毕业生免试攻读研究生工作细则依据《喀什大学推荐优秀应届本科毕业生免试攻读硕士学位研究生工作管理办法（试行）》（喀大办发〔2025〕44号）制定，适用于在规定学制年限内完成学业的学院应届普通本科毕业生。推免工作坚持公开、公正、公平，德智体美劳全面衡量、以德为先，思想品德考核不合格者不予推荐录取。</w:t>
      </w:r>
    </w:p>
    <w:p>
      <w:pPr>
        <w:spacing w:after="80" w:lineRule="auto" w:line="360"/>
        <w:ind w:firstLine="482"/>
        <w:jc w:val="both"/>
      </w:pPr>
      <w:r>
        <w:rPr>
          <w:rFonts w:ascii="Times New Roman" w:hAnsi="Times New Roman" w:eastAsia="宋体"/>
          <w:b w:val="0"/>
          <w:sz w:val="24"/>
        </w:rPr>
        <w:t>发布日期：2025年8月30日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学院成立推免生遴选工作领导小组和推免生工作专家审核小组，专家审核小组主要负责审核学生提交材料中专业性认定部分的工作。</w:t>
      </w:r>
    </w:p>
    <w:p>
      <w:pPr>
        <w:spacing w:after="80" w:lineRule="auto" w:line="360"/>
        <w:ind w:firstLine="482"/>
        <w:jc w:val="both"/>
      </w:pPr>
      <w:r>
        <w:rPr>
          <w:rFonts w:ascii="Times New Roman" w:hAnsi="Times New Roman" w:eastAsia="宋体"/>
          <w:b w:val="0"/>
          <w:sz w:val="24"/>
        </w:rPr>
        <w:t>2. 推免生遴选工作领导小组主要职责：根据学校政策和规定制订学院当年推免具体办法；根据学校下达的比例和计划确定各专业推免人数；对申请者进行资格审查、综合考核、择优推荐；受理学生复议。</w:t>
      </w:r>
    </w:p>
    <w:p>
      <w:pPr>
        <w:spacing w:before="160" w:after="80" w:lineRule="auto" w:line="360"/>
        <w:jc w:val="left"/>
      </w:pPr>
      <w:r>
        <w:rPr>
          <w:rFonts w:ascii="Times New Roman" w:hAnsi="Times New Roman" w:eastAsia="宋体"/>
          <w:b/>
          <w:sz w:val="28"/>
        </w:rPr>
        <w:t>二、基本条件及要求</w:t>
      </w:r>
    </w:p>
    <w:p>
      <w:pPr>
        <w:spacing w:after="80" w:lineRule="auto" w:line="360"/>
        <w:ind w:firstLine="482"/>
        <w:jc w:val="both"/>
      </w:pPr>
      <w:r>
        <w:rPr>
          <w:rFonts w:ascii="Times New Roman" w:hAnsi="Times New Roman" w:eastAsia="宋体"/>
          <w:b w:val="0"/>
          <w:sz w:val="24"/>
        </w:rPr>
        <w:t>1. 推免生应具备的基本条件：</w:t>
      </w:r>
    </w:p>
    <w:p>
      <w:pPr>
        <w:spacing w:after="80" w:lineRule="auto" w:line="360"/>
        <w:ind w:firstLine="482"/>
        <w:jc w:val="both"/>
      </w:pPr>
      <w:r>
        <w:rPr>
          <w:rFonts w:ascii="Times New Roman" w:hAnsi="Times New Roman" w:eastAsia="宋体"/>
          <w:b w:val="0"/>
          <w:sz w:val="24"/>
        </w:rPr>
        <w:t>（1）拥护中国共产党的领导，深入学习贯彻习近平新时代中国特色社会主义思想，具有高尚的爱国主义情操和集体主义精神，社会主义信念坚定，社会责任感强，积极向上，身心健康。</w:t>
      </w:r>
    </w:p>
    <w:p>
      <w:pPr>
        <w:spacing w:after="80" w:lineRule="auto" w:line="360"/>
        <w:ind w:firstLine="482"/>
        <w:jc w:val="both"/>
      </w:pPr>
      <w:r>
        <w:rPr>
          <w:rFonts w:ascii="Times New Roman" w:hAnsi="Times New Roman" w:eastAsia="宋体"/>
          <w:b w:val="0"/>
          <w:sz w:val="24"/>
        </w:rPr>
        <w:t>（2）遵纪守法，诚实守信，学风端正，无考试作弊、学术不端行为，品行表现优良，无任何违法违纪受处分记录。</w:t>
      </w:r>
    </w:p>
    <w:p>
      <w:pPr>
        <w:spacing w:after="80" w:lineRule="auto" w:line="360"/>
        <w:ind w:firstLine="482"/>
        <w:jc w:val="both"/>
      </w:pPr>
      <w:r>
        <w:rPr>
          <w:rFonts w:ascii="Times New Roman" w:hAnsi="Times New Roman" w:eastAsia="宋体"/>
          <w:b w:val="0"/>
          <w:sz w:val="24"/>
        </w:rPr>
        <w:t>（3）勤奋学习，刻苦钻研，前三学年所有已修读的必修课无不及格记录且平均学分绩点要求排名位于本专业同年级前35%。在科研或国内外顶级竞赛中取得突破性成果或成绩的，平均学分绩点要求可适当放宽至本专业前40%以内，由学院推免生遴选工作领导小组审定后执行。</w:t>
      </w:r>
    </w:p>
    <w:p>
      <w:pPr>
        <w:spacing w:after="80" w:lineRule="auto" w:line="360"/>
        <w:ind w:firstLine="482"/>
        <w:jc w:val="both"/>
      </w:pPr>
      <w:r>
        <w:rPr>
          <w:rFonts w:ascii="Times New Roman" w:hAnsi="Times New Roman" w:eastAsia="宋体"/>
          <w:b w:val="0"/>
          <w:sz w:val="24"/>
        </w:rPr>
        <w:t>（4）大学外语水平良好，全国大学生英语四级成绩不低于425分。</w:t>
      </w:r>
    </w:p>
    <w:p>
      <w:pPr>
        <w:spacing w:after="80" w:lineRule="auto" w:line="360"/>
        <w:ind w:firstLine="482"/>
        <w:jc w:val="both"/>
      </w:pPr>
      <w:r>
        <w:rPr>
          <w:rFonts w:ascii="Times New Roman" w:hAnsi="Times New Roman" w:eastAsia="宋体"/>
          <w:b w:val="0"/>
          <w:sz w:val="24"/>
        </w:rPr>
        <w:t>（5）学术研究兴趣浓厚，有较强的创新意识、创新能力和专业能力潜质。</w:t>
      </w:r>
    </w:p>
    <w:p>
      <w:pPr>
        <w:spacing w:after="80" w:lineRule="auto" w:line="360"/>
        <w:ind w:firstLine="482"/>
        <w:jc w:val="both"/>
      </w:pPr>
      <w:r>
        <w:rPr>
          <w:rFonts w:ascii="Times New Roman" w:hAnsi="Times New Roman" w:eastAsia="宋体"/>
          <w:b w:val="0"/>
          <w:sz w:val="24"/>
        </w:rPr>
        <w:t>（6）身心健康，本科期间大学生体质健康测试合格。</w:t>
      </w:r>
    </w:p>
    <w:p>
      <w:pPr>
        <w:spacing w:after="80" w:lineRule="auto" w:line="360"/>
        <w:ind w:firstLine="482"/>
        <w:jc w:val="both"/>
      </w:pPr>
      <w:r>
        <w:rPr>
          <w:rFonts w:ascii="Times New Roman" w:hAnsi="Times New Roman" w:eastAsia="宋体"/>
          <w:b w:val="0"/>
          <w:sz w:val="24"/>
        </w:rPr>
        <w:t>2. 不具备推荐资格的情况：</w:t>
      </w:r>
    </w:p>
    <w:p>
      <w:pPr>
        <w:spacing w:after="80" w:lineRule="auto" w:line="360"/>
        <w:ind w:firstLine="482"/>
        <w:jc w:val="both"/>
      </w:pPr>
      <w:r>
        <w:rPr>
          <w:rFonts w:ascii="Times New Roman" w:hAnsi="Times New Roman" w:eastAsia="宋体"/>
          <w:b w:val="0"/>
          <w:sz w:val="24"/>
        </w:rPr>
        <w:t>（1）有违法违纪行为（其中包括各类通报处分，如吸烟、饮酒、夜不归宿等），受到司法机关和学校纪律处分的；</w:t>
      </w:r>
    </w:p>
    <w:p>
      <w:pPr>
        <w:spacing w:after="80" w:lineRule="auto" w:line="360"/>
        <w:ind w:firstLine="482"/>
        <w:jc w:val="both"/>
      </w:pPr>
      <w:r>
        <w:rPr>
          <w:rFonts w:ascii="Times New Roman" w:hAnsi="Times New Roman" w:eastAsia="宋体"/>
          <w:b w:val="0"/>
          <w:sz w:val="24"/>
        </w:rPr>
        <w:t>（2）定向生在推免前未征得原单位同意的。</w:t>
      </w:r>
    </w:p>
    <w:p>
      <w:pPr>
        <w:spacing w:after="80" w:lineRule="auto" w:line="360"/>
        <w:ind w:firstLine="482"/>
        <w:jc w:val="both"/>
      </w:pPr>
      <w:r>
        <w:rPr>
          <w:rFonts w:ascii="Times New Roman" w:hAnsi="Times New Roman" w:eastAsia="宋体"/>
          <w:b w:val="0"/>
          <w:sz w:val="24"/>
        </w:rPr>
        <w:t>3. 推免生比例和指标：</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数学与应用数学</w:t>
            </w:r>
          </w:p>
        </w:tc>
        <w:tc>
          <w:tcPr>
            <w:tcW w:type="dxa" w:w="1439"/>
          </w:tcPr>
          <w:p>
            <w:pPr>
              <w:spacing w:after="20" w:before="20"/>
            </w:pPr>
            <w:r/>
            <w:r>
              <w:rPr>
                <w:rFonts w:ascii="Times New Roman" w:hAnsi="Times New Roman" w:eastAsia="宋体"/>
                <w:b/>
                <w:sz w:val="21"/>
              </w:rPr>
              <w:t>信息与计算科学</w:t>
            </w:r>
          </w:p>
        </w:tc>
        <w:tc>
          <w:tcPr>
            <w:tcW w:type="dxa" w:w="1439"/>
          </w:tcPr>
          <w:p>
            <w:pPr>
              <w:spacing w:after="20" w:before="20"/>
            </w:pPr>
            <w:r/>
            <w:r>
              <w:rPr>
                <w:rFonts w:ascii="Times New Roman" w:hAnsi="Times New Roman" w:eastAsia="宋体"/>
                <w:b/>
                <w:sz w:val="21"/>
              </w:rPr>
              <w:t>统计学</w:t>
            </w:r>
          </w:p>
        </w:tc>
        <w:tc>
          <w:tcPr>
            <w:tcW w:type="dxa" w:w="1439"/>
          </w:tcPr>
          <w:p>
            <w:pPr>
              <w:spacing w:after="20" w:before="20"/>
            </w:pPr>
            <w:r/>
            <w:r>
              <w:rPr>
                <w:rFonts w:ascii="Times New Roman" w:hAnsi="Times New Roman" w:eastAsia="宋体"/>
                <w:b/>
                <w:sz w:val="21"/>
              </w:rPr>
              <w:t>应用统计学</w:t>
            </w:r>
          </w:p>
        </w:tc>
        <w:tc>
          <w:tcPr>
            <w:tcW w:type="dxa" w:w="1439"/>
          </w:tcPr>
          <w:p>
            <w:pPr>
              <w:spacing w:after="20" w:before="20"/>
            </w:pPr>
            <w:r/>
            <w:r>
              <w:rPr>
                <w:rFonts w:ascii="Times New Roman" w:hAnsi="Times New Roman" w:eastAsia="宋体"/>
                <w:b/>
                <w:sz w:val="21"/>
              </w:rPr>
              <w:t>金融数学</w:t>
            </w:r>
          </w:p>
        </w:tc>
      </w:tr>
      <w:tr>
        <w:tc>
          <w:tcPr>
            <w:tcW w:type="dxa" w:w="1439"/>
          </w:tcPr>
          <w:p>
            <w:pPr>
              <w:spacing w:after="20" w:before="20"/>
            </w:pPr>
            <w:r/>
            <w:r>
              <w:rPr>
                <w:rFonts w:ascii="Times New Roman" w:hAnsi="Times New Roman" w:eastAsia="宋体"/>
                <w:b w:val="0"/>
                <w:sz w:val="21"/>
              </w:rPr>
              <w:t>名额</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4. 推荐名单依据学生在本专业本年级的总和排名及本专业推免名额确定。申请推免的学生在满足推荐基本条件的情况下须以综合成绩高低决定推荐排序。综合成绩由平均学分绩点成绩和综合能力考核成绩两部分组成，平均学分绩点成绩占比90%，综合能力考核成绩占比10%。其中，平均学分绩点成绩=50+平均学分绩点×10（满分100分，保留两位小数，平均学分绩点以本科教务系统统计数据为准）。</w:t>
      </w:r>
    </w:p>
    <w:p>
      <w:pPr>
        <w:spacing w:after="80" w:lineRule="auto" w:line="360"/>
        <w:ind w:firstLine="482"/>
        <w:jc w:val="both"/>
      </w:pPr>
      <w:r>
        <w:rPr>
          <w:rFonts w:ascii="Times New Roman" w:hAnsi="Times New Roman" w:eastAsia="宋体"/>
          <w:b w:val="0"/>
          <w:sz w:val="24"/>
        </w:rPr>
        <w:t>5. 综合能力考核成绩按照下列规则认定加分（满分100分，保留两位小数），当某一指标类别中有多项加分或同一项目符合不同类别加分的，取最高分计入。多人合作类型的指标，如各级各类项目、论文及团体类竞赛获奖的，排名第1的按100%得分计算，排名第2的按80%得分计算，排名第3的按50%得分计算，排名第4的按20%得分计算，排名第5及以后不计算得分。</w:t>
      </w:r>
    </w:p>
    <w:p>
      <w:pPr>
        <w:spacing w:after="80" w:lineRule="auto" w:line="360"/>
        <w:ind w:firstLine="482"/>
        <w:jc w:val="both"/>
      </w:pPr>
      <w:r>
        <w:rPr>
          <w:rFonts w:ascii="Times New Roman" w:hAnsi="Times New Roman" w:eastAsia="宋体"/>
          <w:b w:val="0"/>
          <w:sz w:val="24"/>
        </w:rPr>
        <w:t>6. 同分处置规则：</w:t>
      </w:r>
    </w:p>
    <w:p>
      <w:pPr>
        <w:spacing w:after="80" w:lineRule="auto" w:line="360"/>
        <w:ind w:firstLine="482"/>
        <w:jc w:val="both"/>
      </w:pPr>
      <w:r>
        <w:rPr>
          <w:rFonts w:ascii="Times New Roman" w:hAnsi="Times New Roman" w:eastAsia="宋体"/>
          <w:b w:val="0"/>
          <w:sz w:val="24"/>
        </w:rPr>
        <w:t>（1）综合成绩相同优先比较平均学分绩点成绩，平均学分绩点成绩高者排序在前。</w:t>
      </w:r>
    </w:p>
    <w:p>
      <w:pPr>
        <w:spacing w:after="80" w:lineRule="auto" w:line="360"/>
        <w:ind w:firstLine="482"/>
        <w:jc w:val="both"/>
      </w:pPr>
      <w:r>
        <w:rPr>
          <w:rFonts w:ascii="Times New Roman" w:hAnsi="Times New Roman" w:eastAsia="宋体"/>
          <w:b w:val="0"/>
          <w:sz w:val="24"/>
        </w:rPr>
        <w:t>（2）平均学分绩点成绩仍相同，则依次比较：科研成果得分；竞赛奖项得分；大学生创新创业项目得分。</w:t>
      </w:r>
    </w:p>
    <w:p>
      <w:pPr>
        <w:spacing w:after="80" w:lineRule="auto" w:line="360"/>
        <w:ind w:firstLine="482"/>
        <w:jc w:val="both"/>
      </w:pPr>
      <w:r>
        <w:rPr>
          <w:rFonts w:ascii="Times New Roman" w:hAnsi="Times New Roman" w:eastAsia="宋体"/>
          <w:b w:val="0"/>
          <w:sz w:val="24"/>
        </w:rPr>
        <w:t>（3）以上所有项目均相同，则通过英语六级者为先（按分数排序），英语六级未通过则比较英语四级成绩（按分数排序）；英语四六级成绩也相同，由推免生遴选工作领导小组审议决定。</w:t>
      </w:r>
    </w:p>
    <w:p>
      <w:pPr>
        <w:spacing w:after="80" w:lineRule="auto" w:line="360"/>
        <w:ind w:firstLine="482"/>
        <w:jc w:val="both"/>
      </w:pPr>
      <w:r>
        <w:rPr>
          <w:rFonts w:ascii="Times New Roman" w:hAnsi="Times New Roman" w:eastAsia="宋体"/>
          <w:b w:val="0"/>
          <w:sz w:val="24"/>
        </w:rPr>
        <w:t>7. 综合能力考核加分项目：</w:t>
      </w:r>
    </w:p>
    <w:p>
      <w:pPr>
        <w:spacing w:after="80" w:lineRule="auto" w:line="360"/>
        <w:ind w:firstLine="482"/>
        <w:jc w:val="both"/>
      </w:pPr>
      <w:r>
        <w:rPr>
          <w:rFonts w:ascii="Times New Roman" w:hAnsi="Times New Roman" w:eastAsia="宋体"/>
          <w:b w:val="0"/>
          <w:sz w:val="24"/>
        </w:rPr>
        <w:t>（1）科研成果。成果认定范围和标准参照学校科研管理部门制定的科研项目及成果认定相关文件执行。申请的学生本人为第一作者，以喀什大学数学与统计学院为第一署名单位发表文章和立项的，按以下分值赋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项目等级</w:t>
            </w:r>
          </w:p>
        </w:tc>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分值（20分）</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SCI1区</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SCI2区</w:t>
            </w:r>
          </w:p>
        </w:tc>
        <w:tc>
          <w:tcPr>
            <w:tcW w:type="dxa" w:w="2878"/>
          </w:tcPr>
          <w:p>
            <w:pPr>
              <w:spacing w:after="20" w:before="20"/>
            </w:pPr>
            <w:r/>
            <w:r>
              <w:rPr>
                <w:rFonts w:ascii="Times New Roman" w:hAnsi="Times New Roman" w:eastAsia="宋体"/>
                <w:b w:val="0"/>
                <w:sz w:val="21"/>
              </w:rPr>
              <w:t>18</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SCI3区</w:t>
            </w:r>
          </w:p>
        </w:tc>
        <w:tc>
          <w:tcPr>
            <w:tcW w:type="dxa" w:w="2878"/>
          </w:tcPr>
          <w:p>
            <w:pPr>
              <w:spacing w:after="20" w:before="20"/>
            </w:pPr>
            <w:r/>
            <w:r>
              <w:rPr>
                <w:rFonts w:ascii="Times New Roman" w:hAnsi="Times New Roman" w:eastAsia="宋体"/>
                <w:b w:val="0"/>
                <w:sz w:val="21"/>
              </w:rPr>
              <w:t>16</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SCI4区</w:t>
            </w:r>
          </w:p>
        </w:tc>
        <w:tc>
          <w:tcPr>
            <w:tcW w:type="dxa" w:w="2878"/>
          </w:tcPr>
          <w:p>
            <w:pPr>
              <w:spacing w:after="20" w:before="20"/>
            </w:pPr>
            <w:r/>
            <w:r>
              <w:rPr>
                <w:rFonts w:ascii="Times New Roman" w:hAnsi="Times New Roman" w:eastAsia="宋体"/>
                <w:b w:val="0"/>
                <w:sz w:val="21"/>
              </w:rPr>
              <w:t>14</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核心、EI</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普刊</w:t>
            </w:r>
          </w:p>
        </w:tc>
        <w:tc>
          <w:tcPr>
            <w:tcW w:type="dxa" w:w="2878"/>
          </w:tcPr>
          <w:p>
            <w:pPr>
              <w:spacing w:after="20" w:before="20"/>
            </w:pPr>
            <w:r/>
            <w:r>
              <w:rPr>
                <w:rFonts w:ascii="Times New Roman" w:hAnsi="Times New Roman" w:eastAsia="宋体"/>
                <w:b w:val="0"/>
                <w:sz w:val="21"/>
              </w:rPr>
              <w:t>5</w:t>
            </w:r>
          </w:p>
        </w:tc>
      </w:tr>
    </w:tbl>
    <w:p>
      <w:pPr>
        <w:spacing w:after="80" w:lineRule="auto" w:line="360"/>
        <w:ind w:firstLine="482"/>
        <w:jc w:val="both"/>
      </w:pPr>
      <w:r>
        <w:rPr>
          <w:rFonts w:ascii="Times New Roman" w:hAnsi="Times New Roman" w:eastAsia="宋体"/>
          <w:b w:val="0"/>
          <w:sz w:val="24"/>
        </w:rPr>
        <w:t>（2）竞赛奖项。以教务处、就业指导中心、校团委等校内相关部门提供的学科竞赛项目名单为参考（不同类型的竞赛可累计进行计分，同一类型竞赛取最高成绩计入，不超过最大分值）。同时按以下分值赋分：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获奖类别</w:t>
            </w:r>
          </w:p>
        </w:tc>
        <w:tc>
          <w:tcPr>
            <w:tcW w:type="dxa" w:w="2878"/>
          </w:tcPr>
          <w:p>
            <w:pPr>
              <w:spacing w:after="20" w:before="20"/>
            </w:pPr>
            <w:r/>
            <w:r>
              <w:rPr>
                <w:rFonts w:ascii="Times New Roman" w:hAnsi="Times New Roman" w:eastAsia="宋体"/>
                <w:b/>
                <w:sz w:val="21"/>
              </w:rPr>
              <w:t>获奖等级</w:t>
            </w:r>
          </w:p>
        </w:tc>
        <w:tc>
          <w:tcPr>
            <w:tcW w:type="dxa" w:w="2878"/>
          </w:tcPr>
          <w:p>
            <w:pPr>
              <w:spacing w:after="20" w:before="20"/>
            </w:pPr>
            <w:r/>
            <w:r>
              <w:rPr>
                <w:rFonts w:ascii="Times New Roman" w:hAnsi="Times New Roman" w:eastAsia="宋体"/>
                <w:b/>
                <w:sz w:val="21"/>
              </w:rPr>
              <w:t>分值（30分）</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一等奖</w:t>
            </w:r>
          </w:p>
        </w:tc>
        <w:tc>
          <w:tcPr>
            <w:tcW w:type="dxa" w:w="2878"/>
          </w:tcPr>
          <w:p>
            <w:pPr>
              <w:spacing w:after="20" w:before="20"/>
            </w:pPr>
            <w:r/>
            <w:r>
              <w:rPr>
                <w:rFonts w:ascii="Times New Roman" w:hAnsi="Times New Roman" w:eastAsia="宋体"/>
                <w:b w:val="0"/>
                <w:sz w:val="21"/>
              </w:rPr>
              <w:t>30</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二等奖</w:t>
            </w:r>
          </w:p>
        </w:tc>
        <w:tc>
          <w:tcPr>
            <w:tcW w:type="dxa" w:w="2878"/>
          </w:tcPr>
          <w:p>
            <w:pPr>
              <w:spacing w:after="20" w:before="20"/>
            </w:pPr>
            <w:r/>
            <w:r>
              <w:rPr>
                <w:rFonts w:ascii="Times New Roman" w:hAnsi="Times New Roman" w:eastAsia="宋体"/>
                <w:b w:val="0"/>
                <w:sz w:val="21"/>
              </w:rPr>
              <w:t>27.5</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三等奖</w:t>
            </w:r>
          </w:p>
        </w:tc>
        <w:tc>
          <w:tcPr>
            <w:tcW w:type="dxa" w:w="2878"/>
          </w:tcPr>
          <w:p>
            <w:pPr>
              <w:spacing w:after="20" w:before="20"/>
            </w:pPr>
            <w:r/>
            <w:r>
              <w:rPr>
                <w:rFonts w:ascii="Times New Roman" w:hAnsi="Times New Roman" w:eastAsia="宋体"/>
                <w:b w:val="0"/>
                <w:sz w:val="21"/>
              </w:rPr>
              <w:t>25</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一等奖</w:t>
            </w:r>
          </w:p>
        </w:tc>
        <w:tc>
          <w:tcPr>
            <w:tcW w:type="dxa" w:w="2878"/>
          </w:tcPr>
          <w:p>
            <w:pPr>
              <w:spacing w:after="20" w:before="20"/>
            </w:pPr>
            <w:r/>
            <w:r>
              <w:rPr>
                <w:rFonts w:ascii="Times New Roman" w:hAnsi="Times New Roman" w:eastAsia="宋体"/>
                <w:b w:val="0"/>
                <w:sz w:val="21"/>
              </w:rPr>
              <w:t>22.5</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二等奖</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三等奖</w:t>
            </w:r>
          </w:p>
        </w:tc>
        <w:tc>
          <w:tcPr>
            <w:tcW w:type="dxa" w:w="2878"/>
          </w:tcPr>
          <w:p>
            <w:pPr>
              <w:spacing w:after="20" w:before="20"/>
            </w:pPr>
            <w:r/>
            <w:r>
              <w:rPr>
                <w:rFonts w:ascii="Times New Roman" w:hAnsi="Times New Roman" w:eastAsia="宋体"/>
                <w:b w:val="0"/>
                <w:sz w:val="21"/>
              </w:rPr>
              <w:t>17.5</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一等奖</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二等奖</w:t>
            </w:r>
          </w:p>
        </w:tc>
        <w:tc>
          <w:tcPr>
            <w:tcW w:type="dxa" w:w="2878"/>
          </w:tcPr>
          <w:p>
            <w:pPr>
              <w:spacing w:after="20" w:before="20"/>
            </w:pPr>
            <w:r/>
            <w:r>
              <w:rPr>
                <w:rFonts w:ascii="Times New Roman" w:hAnsi="Times New Roman" w:eastAsia="宋体"/>
                <w:b w:val="0"/>
                <w:sz w:val="21"/>
              </w:rPr>
              <w:t>12.5</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三等奖</w:t>
            </w:r>
          </w:p>
        </w:tc>
        <w:tc>
          <w:tcPr>
            <w:tcW w:type="dxa" w:w="2878"/>
          </w:tcPr>
          <w:p>
            <w:pPr>
              <w:spacing w:after="20" w:before="20"/>
            </w:pPr>
            <w:r/>
            <w:r>
              <w:rPr>
                <w:rFonts w:ascii="Times New Roman" w:hAnsi="Times New Roman" w:eastAsia="宋体"/>
                <w:b w:val="0"/>
                <w:sz w:val="21"/>
              </w:rPr>
              <w:t>10</w:t>
            </w:r>
          </w:p>
        </w:tc>
      </w:tr>
    </w:tbl>
    <w:p>
      <w:pPr>
        <w:spacing w:after="80" w:lineRule="auto" w:line="360"/>
        <w:ind w:firstLine="482"/>
        <w:jc w:val="both"/>
      </w:pPr>
      <w:r>
        <w:rPr>
          <w:rFonts w:ascii="Times New Roman" w:hAnsi="Times New Roman" w:eastAsia="宋体"/>
          <w:b w:val="0"/>
          <w:sz w:val="24"/>
        </w:rPr>
        <w:t>（3）参军入伍。仅限学生本科阶段应征入伍并圆满履行兵役义务，依据服役期间表现等按以下分值赋分：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荣获奖项</w:t>
            </w:r>
          </w:p>
        </w:tc>
        <w:tc>
          <w:tcPr>
            <w:tcW w:type="dxa" w:w="4317"/>
          </w:tcPr>
          <w:p>
            <w:pPr>
              <w:spacing w:after="20" w:before="20"/>
            </w:pPr>
            <w:r/>
            <w:r>
              <w:rPr>
                <w:rFonts w:ascii="Times New Roman" w:hAnsi="Times New Roman" w:eastAsia="宋体"/>
                <w:b/>
                <w:sz w:val="21"/>
              </w:rPr>
              <w:t>分值（10分）</w:t>
            </w:r>
          </w:p>
        </w:tc>
      </w:tr>
      <w:tr>
        <w:tc>
          <w:tcPr>
            <w:tcW w:type="dxa" w:w="4317"/>
          </w:tcPr>
          <w:p>
            <w:pPr>
              <w:spacing w:after="20" w:before="20"/>
            </w:pPr>
            <w:r/>
            <w:r>
              <w:rPr>
                <w:rFonts w:ascii="Times New Roman" w:hAnsi="Times New Roman" w:eastAsia="宋体"/>
                <w:b w:val="0"/>
                <w:sz w:val="21"/>
              </w:rPr>
              <w:t>个人一等功</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个人二等功</w:t>
            </w:r>
          </w:p>
        </w:tc>
        <w:tc>
          <w:tcPr>
            <w:tcW w:type="dxa" w:w="4317"/>
          </w:tcPr>
          <w:p>
            <w:pPr>
              <w:spacing w:after="20" w:before="20"/>
            </w:pPr>
            <w:r/>
            <w:r>
              <w:rPr>
                <w:rFonts w:ascii="Times New Roman" w:hAnsi="Times New Roman" w:eastAsia="宋体"/>
                <w:b w:val="0"/>
                <w:sz w:val="21"/>
              </w:rPr>
              <w:t>7.5</w:t>
            </w:r>
          </w:p>
        </w:tc>
      </w:tr>
      <w:tr>
        <w:tc>
          <w:tcPr>
            <w:tcW w:type="dxa" w:w="4317"/>
          </w:tcPr>
          <w:p>
            <w:pPr>
              <w:spacing w:after="20" w:before="20"/>
            </w:pPr>
            <w:r/>
            <w:r>
              <w:rPr>
                <w:rFonts w:ascii="Times New Roman" w:hAnsi="Times New Roman" w:eastAsia="宋体"/>
                <w:b w:val="0"/>
                <w:sz w:val="21"/>
              </w:rPr>
              <w:t>个人三等功</w:t>
            </w:r>
          </w:p>
        </w:tc>
        <w:tc>
          <w:tcPr>
            <w:tcW w:type="dxa" w:w="4317"/>
          </w:tcPr>
          <w:p>
            <w:pPr>
              <w:spacing w:after="20" w:before="20"/>
            </w:pPr>
            <w:r/>
            <w:r>
              <w:rPr>
                <w:rFonts w:ascii="Times New Roman" w:hAnsi="Times New Roman" w:eastAsia="宋体"/>
                <w:b w:val="0"/>
                <w:sz w:val="21"/>
              </w:rPr>
              <w:t>5</w:t>
            </w:r>
          </w:p>
        </w:tc>
      </w:tr>
      <w:tr>
        <w:tc>
          <w:tcPr>
            <w:tcW w:type="dxa" w:w="4317"/>
          </w:tcPr>
          <w:p>
            <w:pPr>
              <w:spacing w:after="20" w:before="20"/>
            </w:pPr>
            <w:r/>
            <w:r>
              <w:rPr>
                <w:rFonts w:ascii="Times New Roman" w:hAnsi="Times New Roman" w:eastAsia="宋体"/>
                <w:b w:val="0"/>
                <w:sz w:val="21"/>
              </w:rPr>
              <w:t>无奖项</w:t>
            </w:r>
          </w:p>
        </w:tc>
        <w:tc>
          <w:tcPr>
            <w:tcW w:type="dxa" w:w="4317"/>
          </w:tcPr>
          <w:p>
            <w:pPr>
              <w:spacing w:after="20" w:before="20"/>
            </w:pPr>
            <w:r/>
            <w:r>
              <w:rPr>
                <w:rFonts w:ascii="Times New Roman" w:hAnsi="Times New Roman" w:eastAsia="宋体"/>
                <w:b w:val="0"/>
                <w:sz w:val="21"/>
              </w:rPr>
              <w:t>2.5</w:t>
            </w:r>
          </w:p>
        </w:tc>
      </w:tr>
    </w:tbl>
    <w:p>
      <w:pPr>
        <w:spacing w:after="80" w:lineRule="auto" w:line="360"/>
        <w:ind w:firstLine="482"/>
        <w:jc w:val="both"/>
      </w:pPr>
      <w:r>
        <w:rPr>
          <w:rFonts w:ascii="Times New Roman" w:hAnsi="Times New Roman" w:eastAsia="宋体"/>
          <w:b w:val="0"/>
          <w:sz w:val="24"/>
        </w:rPr>
        <w:t>（4）志愿服务。仅限学生本科阶段参与的有组织志愿服务活动，需同时满足以下条件方可参与赋分：活动需有明确组织主体（如学校、公益机构等）；服务记录需可通过中国志愿服务官网、志愿云等官方平台查询，或能提供活动主办方出具的有效证书。赋分规则：以中国志愿服务官网、志愿云等官方平台记录的志愿服务时长为核心依据，按以下方式折合计算：参与评选者中，志愿服务时长最长者按满分20分计，时长最短者按1分计，在此区间内按比例进行折合计算。若在获得有效服务时长的同时，还持有该志愿服务活动对应的官方证书（如优秀志愿者证书、活动结业证书等），可额外加3分，此项附加分仅计一次，不重复累计。</w:t>
      </w:r>
    </w:p>
    <w:p>
      <w:pPr>
        <w:spacing w:after="80" w:lineRule="auto" w:line="360"/>
        <w:ind w:firstLine="482"/>
        <w:jc w:val="both"/>
      </w:pPr>
      <w:r>
        <w:rPr>
          <w:rFonts w:ascii="Times New Roman" w:hAnsi="Times New Roman" w:eastAsia="宋体"/>
          <w:b w:val="0"/>
          <w:sz w:val="24"/>
        </w:rPr>
        <w:t>（5）国际组织实习。仅限学生本科阶段参加国家留学基金管理委员会资助的国际组织实习项目，依据实习时长按以下方式赋分：以实习时长最高者按满分10分计算，实习时长最低者按1分计算，在此区间内按比例进行折合计算。</w:t>
      </w:r>
    </w:p>
    <w:p>
      <w:pPr>
        <w:spacing w:after="80" w:lineRule="auto" w:line="360"/>
        <w:ind w:firstLine="482"/>
        <w:jc w:val="both"/>
      </w:pPr>
      <w:r>
        <w:rPr>
          <w:rFonts w:ascii="Times New Roman" w:hAnsi="Times New Roman" w:eastAsia="宋体"/>
          <w:b w:val="0"/>
          <w:sz w:val="24"/>
        </w:rPr>
        <w:t>（6）其他。符合全面发展价值导向的其他指标，包括但不限于以下方面（此项可累计）：</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指标</w:t>
            </w:r>
          </w:p>
        </w:tc>
        <w:tc>
          <w:tcPr>
            <w:tcW w:type="dxa" w:w="4317"/>
          </w:tcPr>
          <w:p>
            <w:pPr>
              <w:spacing w:after="20" w:before="20"/>
            </w:pPr>
            <w:r/>
            <w:r>
              <w:rPr>
                <w:rFonts w:ascii="Times New Roman" w:hAnsi="Times New Roman" w:eastAsia="宋体"/>
                <w:b/>
                <w:sz w:val="21"/>
              </w:rPr>
              <w:t>分值（10分）</w:t>
            </w:r>
          </w:p>
        </w:tc>
      </w:tr>
      <w:tr>
        <w:tc>
          <w:tcPr>
            <w:tcW w:type="dxa" w:w="4317"/>
          </w:tcPr>
          <w:p>
            <w:pPr>
              <w:spacing w:after="20" w:before="20"/>
            </w:pPr>
            <w:r/>
            <w:r>
              <w:rPr>
                <w:rFonts w:ascii="Times New Roman" w:hAnsi="Times New Roman" w:eastAsia="宋体"/>
                <w:b w:val="0"/>
                <w:sz w:val="21"/>
              </w:rPr>
              <w:t>党员（预备党员）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见义勇为（获得证书或锦旗）</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通过大学生英语六级</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省部级及以上荣誉</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县级及以上政府表彰</w:t>
            </w:r>
          </w:p>
        </w:tc>
        <w:tc>
          <w:tcPr>
            <w:tcW w:type="dxa" w:w="4317"/>
          </w:tcPr>
          <w:p>
            <w:pPr>
              <w:spacing w:after="20" w:before="20"/>
            </w:pPr>
            <w:r/>
            <w:r>
              <w:rPr>
                <w:rFonts w:ascii="Times New Roman" w:hAnsi="Times New Roman" w:eastAsia="宋体"/>
                <w:b w:val="0"/>
                <w:sz w:val="21"/>
              </w:rPr>
              <w:t>2</w:t>
            </w:r>
          </w:p>
        </w:tc>
      </w:tr>
    </w:tbl>
    <w:p>
      <w:pPr>
        <w:spacing w:before="160" w:after="80" w:lineRule="auto" w:line="360"/>
        <w:jc w:val="left"/>
      </w:pPr>
      <w:r>
        <w:rPr>
          <w:rFonts w:ascii="Times New Roman" w:hAnsi="Times New Roman" w:eastAsia="宋体"/>
          <w:b/>
          <w:sz w:val="28"/>
        </w:rPr>
        <w:t>三、推荐程序</w:t>
      </w:r>
    </w:p>
    <w:p>
      <w:pPr>
        <w:spacing w:after="80" w:lineRule="auto" w:line="360"/>
        <w:ind w:firstLine="482"/>
        <w:jc w:val="both"/>
      </w:pPr>
      <w:r>
        <w:rPr>
          <w:rFonts w:ascii="Times New Roman" w:hAnsi="Times New Roman" w:eastAsia="宋体"/>
          <w:b w:val="0"/>
          <w:sz w:val="24"/>
        </w:rPr>
        <w:t>1. 9月3日20:00学生截止报名，并提交相关证明材料：</w:t>
      </w:r>
    </w:p>
    <w:p>
      <w:pPr>
        <w:spacing w:after="80" w:lineRule="auto" w:line="360"/>
        <w:ind w:firstLine="482"/>
        <w:jc w:val="both"/>
      </w:pPr>
      <w:r>
        <w:rPr>
          <w:rFonts w:ascii="Times New Roman" w:hAnsi="Times New Roman" w:eastAsia="宋体"/>
          <w:b w:val="0"/>
          <w:sz w:val="24"/>
        </w:rPr>
        <w:t>（1）喀什大学推荐优秀应届本科毕业生免试攻读全日制硕士研究生申请表（全部报名学生的）</w:t>
      </w:r>
    </w:p>
    <w:p>
      <w:pPr>
        <w:spacing w:after="80" w:lineRule="auto" w:line="360"/>
        <w:ind w:firstLine="482"/>
        <w:jc w:val="both"/>
      </w:pPr>
      <w:r>
        <w:rPr>
          <w:rFonts w:ascii="Times New Roman" w:hAnsi="Times New Roman" w:eastAsia="宋体"/>
          <w:b w:val="0"/>
          <w:sz w:val="24"/>
        </w:rPr>
        <w:t>（2）喀什大学申请推荐优秀应届本科毕业生免试攻读全日制硕士研究生情况汇总表（全部报名学生的）</w:t>
      </w:r>
    </w:p>
    <w:p>
      <w:pPr>
        <w:spacing w:after="80" w:lineRule="auto" w:line="360"/>
        <w:ind w:firstLine="482"/>
        <w:jc w:val="both"/>
      </w:pPr>
      <w:r>
        <w:rPr>
          <w:rFonts w:ascii="Times New Roman" w:hAnsi="Times New Roman" w:eastAsia="宋体"/>
          <w:b w:val="0"/>
          <w:sz w:val="24"/>
        </w:rPr>
        <w:t>（3）喀什大学推荐免试研究生复议申请表（有申请学生的）</w:t>
      </w:r>
    </w:p>
    <w:p>
      <w:pPr>
        <w:spacing w:after="80" w:lineRule="auto" w:line="360"/>
        <w:ind w:firstLine="482"/>
        <w:jc w:val="both"/>
      </w:pPr>
      <w:r>
        <w:rPr>
          <w:rFonts w:ascii="Times New Roman" w:hAnsi="Times New Roman" w:eastAsia="宋体"/>
          <w:b w:val="0"/>
          <w:sz w:val="24"/>
        </w:rPr>
        <w:t>（4）喀什大学推荐免试研究生复议情况汇总表（有申请学生的）</w:t>
      </w:r>
    </w:p>
    <w:p>
      <w:pPr>
        <w:spacing w:after="80" w:lineRule="auto" w:line="360"/>
        <w:ind w:firstLine="482"/>
        <w:jc w:val="both"/>
      </w:pPr>
      <w:r>
        <w:rPr>
          <w:rFonts w:ascii="Times New Roman" w:hAnsi="Times New Roman" w:eastAsia="宋体"/>
          <w:b w:val="0"/>
          <w:sz w:val="24"/>
        </w:rPr>
        <w:t>（5）（确认学生获得推免资格之后填写，待学校通知后再填写）全国推荐免试攻读硕士学位研究生推免生登记表</w:t>
      </w:r>
    </w:p>
    <w:p>
      <w:pPr>
        <w:spacing w:after="80" w:lineRule="auto" w:line="360"/>
        <w:ind w:firstLine="482"/>
        <w:jc w:val="both"/>
      </w:pPr>
      <w:r>
        <w:rPr>
          <w:rFonts w:ascii="Times New Roman" w:hAnsi="Times New Roman" w:eastAsia="宋体"/>
          <w:b w:val="0"/>
          <w:sz w:val="24"/>
        </w:rPr>
        <w:t>（6）教务系统导出的考生成绩单（全部报名学生的，学院审核盖章）</w:t>
      </w:r>
    </w:p>
    <w:p>
      <w:pPr>
        <w:spacing w:after="80" w:lineRule="auto" w:line="360"/>
        <w:ind w:firstLine="482"/>
        <w:jc w:val="both"/>
      </w:pPr>
      <w:r>
        <w:rPr>
          <w:rFonts w:ascii="Times New Roman" w:hAnsi="Times New Roman" w:eastAsia="宋体"/>
          <w:b w:val="0"/>
          <w:sz w:val="24"/>
        </w:rPr>
        <w:t>（7）全国大学英语四、六级考试成绩单复印件（全部报名学生的，学院审核盖章）</w:t>
      </w:r>
    </w:p>
    <w:p>
      <w:pPr>
        <w:spacing w:after="80" w:lineRule="auto" w:line="360"/>
        <w:ind w:firstLine="482"/>
        <w:jc w:val="both"/>
      </w:pPr>
      <w:r>
        <w:rPr>
          <w:rFonts w:ascii="Times New Roman" w:hAnsi="Times New Roman" w:eastAsia="宋体"/>
          <w:b w:val="0"/>
          <w:sz w:val="24"/>
        </w:rPr>
        <w:t>（8）学院自制的表格及能够反映本人综合能力考核的各类材料的复印件（包括各种表彰奖励证书、竞赛获奖证书、发表的学术论文或其他学术成果等）</w:t>
      </w:r>
    </w:p>
    <w:p>
      <w:pPr>
        <w:spacing w:after="80" w:lineRule="auto" w:line="360"/>
        <w:ind w:firstLine="482"/>
        <w:jc w:val="both"/>
      </w:pPr>
      <w:r>
        <w:rPr>
          <w:rFonts w:ascii="Times New Roman" w:hAnsi="Times New Roman" w:eastAsia="宋体"/>
          <w:b w:val="0"/>
          <w:sz w:val="24"/>
        </w:rPr>
        <w:t>以上材料纸质版一式四份，包括电子版一并交由班主任，由班主任收集上交数信楼B220办公室孙老师处。</w:t>
      </w:r>
    </w:p>
    <w:p>
      <w:pPr>
        <w:spacing w:after="80" w:lineRule="auto" w:line="360"/>
        <w:ind w:firstLine="482"/>
        <w:jc w:val="both"/>
      </w:pPr>
      <w:r>
        <w:rPr>
          <w:rFonts w:ascii="Times New Roman" w:hAnsi="Times New Roman" w:eastAsia="宋体"/>
          <w:b w:val="0"/>
          <w:sz w:val="24"/>
        </w:rPr>
        <w:t>2. 9月4日-9月5日学院推免生遴选工作领导小组根据遴选条件，对学生提交的材料进行审核。</w:t>
      </w:r>
    </w:p>
    <w:p>
      <w:pPr>
        <w:spacing w:after="80" w:lineRule="auto" w:line="360"/>
        <w:ind w:firstLine="482"/>
        <w:jc w:val="both"/>
      </w:pPr>
      <w:r>
        <w:rPr>
          <w:rFonts w:ascii="Times New Roman" w:hAnsi="Times New Roman" w:eastAsia="宋体"/>
          <w:b w:val="0"/>
          <w:sz w:val="24"/>
        </w:rPr>
        <w:t>3. 9月6日-9月8日学院对审核的名单进行排名并公示3天，公示地点：数信楼B220办公室门口，公示期间如有任何异议，可前往数信楼B220办公室向孙老师处（联系方式：13239948136）提出复议申请。</w:t>
      </w:r>
    </w:p>
    <w:p>
      <w:pPr>
        <w:spacing w:after="80" w:lineRule="auto" w:line="360"/>
        <w:ind w:firstLine="482"/>
        <w:jc w:val="both"/>
      </w:pPr>
      <w:r>
        <w:rPr>
          <w:rFonts w:ascii="Times New Roman" w:hAnsi="Times New Roman" w:eastAsia="宋体"/>
          <w:b w:val="0"/>
          <w:sz w:val="24"/>
        </w:rPr>
        <w:t>4. 复议申请和程序：</w:t>
      </w:r>
    </w:p>
    <w:p>
      <w:pPr>
        <w:spacing w:after="80" w:lineRule="auto" w:line="360"/>
        <w:ind w:firstLine="482"/>
        <w:jc w:val="both"/>
      </w:pPr>
      <w:r>
        <w:rPr>
          <w:rFonts w:ascii="Times New Roman" w:hAnsi="Times New Roman" w:eastAsia="宋体"/>
          <w:b w:val="0"/>
          <w:sz w:val="24"/>
        </w:rPr>
        <w:t>（1）申请人填写《喀什大学推荐免试研究生复议申请表》（一式三份）并在公示期内上交，逾期不予受理。</w:t>
      </w:r>
    </w:p>
    <w:p>
      <w:pPr>
        <w:spacing w:after="80" w:lineRule="auto" w:line="360"/>
        <w:ind w:firstLine="482"/>
        <w:jc w:val="both"/>
      </w:pPr>
      <w:r>
        <w:rPr>
          <w:rFonts w:ascii="Times New Roman" w:hAnsi="Times New Roman" w:eastAsia="宋体"/>
          <w:b w:val="0"/>
          <w:sz w:val="24"/>
        </w:rPr>
        <w:t>（2）学院推免生遴选工作小组按照《喀什大学推荐优秀应届本科毕业生免试攻读硕士学位研究生工作管理办法（试行）》和本细则的规定，审核申请人所反映的情况是否属实，必要时可重新对相关人员进行综合能力考核。复议过程要详细记录在复议表中。</w:t>
      </w:r>
    </w:p>
    <w:p>
      <w:pPr>
        <w:spacing w:after="80" w:lineRule="auto" w:line="360"/>
        <w:ind w:firstLine="482"/>
        <w:jc w:val="both"/>
      </w:pPr>
      <w:r>
        <w:rPr>
          <w:rFonts w:ascii="Times New Roman" w:hAnsi="Times New Roman" w:eastAsia="宋体"/>
          <w:b w:val="0"/>
          <w:sz w:val="24"/>
        </w:rPr>
        <w:t>（3）经复议，学院推免生遴选工作领导小组做出复议结论，填写在复议表的“复议结论”一栏中，组长签字、学院盖章方有效。复议结果在学院将推荐名单报学校推免生遴选工作领导小组前告知申请人。</w:t>
      </w:r>
    </w:p>
    <w:p>
      <w:pPr>
        <w:spacing w:after="80" w:lineRule="auto" w:line="360"/>
        <w:ind w:firstLine="482"/>
        <w:jc w:val="both"/>
      </w:pPr>
      <w:r>
        <w:rPr>
          <w:rFonts w:ascii="Times New Roman" w:hAnsi="Times New Roman" w:eastAsia="宋体"/>
          <w:b w:val="0"/>
          <w:sz w:val="24"/>
        </w:rPr>
        <w:t>（4）学院将复议表进行汇总，连同推荐名单在规定日期内报学校推免生遴选工作领导小组。</w:t>
      </w:r>
    </w:p>
    <w:p>
      <w:pPr>
        <w:spacing w:after="80" w:lineRule="auto" w:line="360"/>
        <w:ind w:firstLine="482"/>
        <w:jc w:val="both"/>
      </w:pPr>
      <w:r>
        <w:rPr>
          <w:rFonts w:ascii="Times New Roman" w:hAnsi="Times New Roman" w:eastAsia="宋体"/>
          <w:b w:val="0"/>
          <w:sz w:val="24"/>
        </w:rPr>
        <w:t>5. 已被接收的推免生，若在毕业前受到纪律处分或不能按期正常毕业的，将取消推免名额，并通知接收单位。</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对在推荐过程中弄虚作假，有论文抄袭、虚报获奖或科研成果等学术不端行为或者有其他严重影响推荐过程和结果公平公正行为的学生，一经查实，将取消推免资格，已入学的，将取消学籍，并报自治区教育考试院按规定计入《国家教育考试考生诚信档案》。推免相关工作人员未严格履行工作职责，违反推免招生政策的，学院依规依纪严肃处理。</w:t>
      </w:r>
    </w:p>
    <w:p>
      <w:pPr>
        <w:spacing w:after="80" w:lineRule="auto" w:line="360"/>
        <w:ind w:firstLine="482"/>
        <w:jc w:val="both"/>
      </w:pPr>
      <w:r>
        <w:rPr>
          <w:rFonts w:ascii="Times New Roman" w:hAnsi="Times New Roman" w:eastAsia="宋体"/>
          <w:b w:val="0"/>
          <w:sz w:val="24"/>
        </w:rPr>
        <w:t>数学与统计学院</w:t>
      </w:r>
    </w:p>
    <w:p>
      <w:pPr>
        <w:spacing w:after="80" w:lineRule="auto" w:line="360"/>
        <w:ind w:firstLine="482"/>
        <w:jc w:val="both"/>
      </w:pPr>
      <w:r>
        <w:rPr>
          <w:rFonts w:ascii="Times New Roman" w:hAnsi="Times New Roman" w:eastAsia="宋体"/>
          <w:b w:val="0"/>
          <w:sz w:val="24"/>
        </w:rPr>
        <w:t>2025年8月30日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