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推免生特殊学术专长成绩=学术成果类成绩×0.09+学术竞赛类成绩×0.06</w:t>
      </w:r>
    </w:p>
    <w:p>
      <w:pPr>
        <w:spacing w:before="160" w:after="80" w:lineRule="auto" w:line="360"/>
        <w:jc w:val="left"/>
      </w:pPr>
      <w:r>
        <w:rPr>
          <w:rFonts w:ascii="Times New Roman" w:hAnsi="Times New Roman" w:eastAsia="宋体"/>
          <w:b/>
          <w:sz w:val="28"/>
        </w:rPr>
        <w:t>一、特殊学术专长成绩计算办法（总共15分）</w:t>
      </w:r>
    </w:p>
    <w:p>
      <w:pPr>
        <w:spacing w:after="80" w:lineRule="auto" w:line="360"/>
        <w:ind w:firstLine="482"/>
        <w:jc w:val="both"/>
      </w:pPr>
      <w:r>
        <w:rPr>
          <w:rFonts w:ascii="Times New Roman" w:hAnsi="Times New Roman" w:eastAsia="宋体"/>
          <w:b w:val="0"/>
          <w:sz w:val="24"/>
        </w:rPr>
        <w:t>发布日期（推定）：2025年9月4日</w:t>
      </w:r>
    </w:p>
    <w:p>
      <w:pPr>
        <w:spacing w:after="80" w:lineRule="auto" w:line="360"/>
        <w:ind w:firstLine="482"/>
        <w:jc w:val="both"/>
      </w:pPr>
      <w:r>
        <w:rPr>
          <w:rFonts w:ascii="Times New Roman" w:hAnsi="Times New Roman" w:eastAsia="宋体"/>
          <w:b w:val="0"/>
          <w:sz w:val="24"/>
        </w:rPr>
        <w:t>推免生特殊学术专长成绩=学术成果类成绩×0.09+学术竞赛类成绩×0.06</w:t>
      </w:r>
    </w:p>
    <w:p>
      <w:pPr>
        <w:spacing w:after="80" w:lineRule="auto" w:line="360"/>
        <w:ind w:firstLine="482"/>
        <w:jc w:val="both"/>
      </w:pPr>
      <w:r>
        <w:rPr>
          <w:rFonts w:ascii="Times New Roman" w:hAnsi="Times New Roman" w:eastAsia="宋体"/>
          <w:b w:val="0"/>
          <w:sz w:val="24"/>
        </w:rPr>
        <w:t>（一）学术成果类成绩计算办法</w:t>
      </w:r>
    </w:p>
    <w:p>
      <w:pPr>
        <w:spacing w:after="80" w:lineRule="auto" w:line="360"/>
        <w:ind w:firstLine="482"/>
        <w:jc w:val="both"/>
      </w:pPr>
      <w:r>
        <w:rPr>
          <w:rFonts w:ascii="Times New Roman" w:hAnsi="Times New Roman" w:eastAsia="宋体"/>
          <w:b w:val="0"/>
          <w:sz w:val="24"/>
        </w:rPr>
        <w:t>1. 与学业有关的核心期刊以上科研论文，第一署名单位为华东交通大学，申请者为独立作者或第一作者。学术期刊性质以科发院（科研处）鉴定为准。</w:t>
      </w:r>
    </w:p>
    <w:p>
      <w:pPr>
        <w:spacing w:after="80" w:lineRule="auto" w:line="360"/>
        <w:ind w:firstLine="482"/>
        <w:jc w:val="both"/>
      </w:pPr>
      <w:r>
        <w:rPr>
          <w:rFonts w:ascii="Times New Roman" w:hAnsi="Times New Roman" w:eastAsia="宋体"/>
          <w:b w:val="0"/>
          <w:sz w:val="24"/>
        </w:rPr>
        <w:t>2. 授权发明专利，申请单位为华东交通大学，申请者排名第一。</w:t>
      </w:r>
    </w:p>
    <w:p>
      <w:pPr>
        <w:spacing w:after="80" w:lineRule="auto" w:line="360"/>
        <w:ind w:firstLine="482"/>
        <w:jc w:val="both"/>
      </w:pPr>
      <w:r>
        <w:rPr>
          <w:rFonts w:ascii="Times New Roman" w:hAnsi="Times New Roman" w:eastAsia="宋体"/>
          <w:b w:val="0"/>
          <w:sz w:val="24"/>
        </w:rPr>
        <w:t>3. 学生与直系亲属或学历、职称、职务明显高于本人者合作的科研成果、竞赛奖项等仅作为参考，不纳入学生本人推免遴选综合评价成绩计算体系，同等条件下可优先考虑。</w:t>
      </w:r>
    </w:p>
    <w:p>
      <w:pPr>
        <w:spacing w:after="80" w:lineRule="auto" w:line="360"/>
        <w:ind w:firstLine="482"/>
        <w:jc w:val="both"/>
      </w:pPr>
      <w:r>
        <w:rPr>
          <w:rFonts w:ascii="Times New Roman" w:hAnsi="Times New Roman" w:eastAsia="宋体"/>
          <w:b w:val="0"/>
          <w:sz w:val="24"/>
        </w:rPr>
        <w:t>4. 学术成果分类如下：SCI、SSCI一区为1类成果，SCI、SSCI二区为2类成果，SCI、SSCI三区、校定权威期刊、授权发明专利为3类成果，SCI、SSCI四区、A&amp;HCI、CSSCI期刊（集刊）、EI收录期刊为4类成果，中文核心期刊（北大版“中文核心期刊要目总览（最新版）”所列）为5类成果。具体计分标准如下：</w:t>
      </w:r>
    </w:p>
    <w:tbl>
      <w:tblPr>
        <w:tblStyle w:val="TableGrid"/>
        <w:tblW w:type="auto" w:w="0"/>
        <w:jc w:val="center"/>
        <w:tblLook w:firstColumn="1" w:firstRow="1" w:lastColumn="0" w:lastRow="0" w:noHBand="0" w:noVBand="1" w:val="04A0"/>
      </w:tblPr>
      <w:tblGrid>
        <w:gridCol w:w="4317"/>
        <w:gridCol w:w="4317"/>
      </w:tblGrid>
      <w:tr>
        <w:tc>
          <w:tcPr>
            <w:tcW w:type="dxa" w:w="4317"/>
          </w:tcPr>
          <w:p>
            <w:pPr>
              <w:spacing w:after="20" w:before="20"/>
            </w:pPr>
            <w:r/>
            <w:r>
              <w:rPr>
                <w:rFonts w:ascii="Times New Roman" w:hAnsi="Times New Roman" w:eastAsia="宋体"/>
                <w:b/>
                <w:sz w:val="21"/>
              </w:rPr>
              <w:t>学术成果分类标准</w:t>
            </w:r>
          </w:p>
        </w:tc>
        <w:tc>
          <w:tcPr>
            <w:tcW w:type="dxa" w:w="4317"/>
          </w:tcPr>
          <w:p>
            <w:pPr>
              <w:spacing w:after="20" w:before="20"/>
            </w:pPr>
            <w:r/>
            <w:r>
              <w:rPr>
                <w:rFonts w:ascii="Times New Roman" w:hAnsi="Times New Roman" w:eastAsia="宋体"/>
                <w:b/>
                <w:sz w:val="21"/>
              </w:rPr>
              <w:t>分/篇、分/项</w:t>
            </w:r>
          </w:p>
        </w:tc>
      </w:tr>
      <w:tr>
        <w:tc>
          <w:tcPr>
            <w:tcW w:type="dxa" w:w="4317"/>
          </w:tcPr>
          <w:p>
            <w:pPr>
              <w:spacing w:after="20" w:before="20"/>
            </w:pPr>
            <w:r/>
            <w:r>
              <w:rPr>
                <w:rFonts w:ascii="Times New Roman" w:hAnsi="Times New Roman" w:eastAsia="宋体"/>
                <w:b w:val="0"/>
                <w:sz w:val="21"/>
              </w:rPr>
              <w:t>SCI、SSCI一区（1类成果）</w:t>
            </w:r>
          </w:p>
        </w:tc>
        <w:tc>
          <w:tcPr>
            <w:tcW w:type="dxa" w:w="4317"/>
          </w:tcPr>
          <w:p>
            <w:pPr>
              <w:spacing w:after="20" w:before="20"/>
            </w:pPr>
            <w:r/>
            <w:r>
              <w:rPr>
                <w:rFonts w:ascii="Times New Roman" w:hAnsi="Times New Roman" w:eastAsia="宋体"/>
                <w:b w:val="0"/>
                <w:sz w:val="21"/>
              </w:rPr>
              <w:t>100</w:t>
            </w:r>
          </w:p>
        </w:tc>
      </w:tr>
      <w:tr>
        <w:tc>
          <w:tcPr>
            <w:tcW w:type="dxa" w:w="4317"/>
          </w:tcPr>
          <w:p>
            <w:pPr>
              <w:spacing w:after="20" w:before="20"/>
            </w:pPr>
            <w:r/>
            <w:r>
              <w:rPr>
                <w:rFonts w:ascii="Times New Roman" w:hAnsi="Times New Roman" w:eastAsia="宋体"/>
                <w:b w:val="0"/>
                <w:sz w:val="21"/>
              </w:rPr>
              <w:t>SCI、SSCI二区（2类成果）</w:t>
            </w:r>
          </w:p>
        </w:tc>
        <w:tc>
          <w:tcPr>
            <w:tcW w:type="dxa" w:w="4317"/>
          </w:tcPr>
          <w:p>
            <w:pPr>
              <w:spacing w:after="20" w:before="20"/>
            </w:pPr>
            <w:r/>
            <w:r>
              <w:rPr>
                <w:rFonts w:ascii="Times New Roman" w:hAnsi="Times New Roman" w:eastAsia="宋体"/>
                <w:b w:val="0"/>
                <w:sz w:val="21"/>
              </w:rPr>
              <w:t>80</w:t>
            </w:r>
          </w:p>
        </w:tc>
      </w:tr>
      <w:tr>
        <w:tc>
          <w:tcPr>
            <w:tcW w:type="dxa" w:w="4317"/>
          </w:tcPr>
          <w:p>
            <w:pPr>
              <w:spacing w:after="20" w:before="20"/>
            </w:pPr>
            <w:r/>
            <w:r>
              <w:rPr>
                <w:rFonts w:ascii="Times New Roman" w:hAnsi="Times New Roman" w:eastAsia="宋体"/>
                <w:b w:val="0"/>
                <w:sz w:val="21"/>
              </w:rPr>
              <w:t>SCI、SSCI三区、校定权威期刊、授权发明专利（3类成果）</w:t>
            </w:r>
          </w:p>
        </w:tc>
        <w:tc>
          <w:tcPr>
            <w:tcW w:type="dxa" w:w="4317"/>
          </w:tcPr>
          <w:p>
            <w:pPr>
              <w:spacing w:after="20" w:before="20"/>
            </w:pPr>
            <w:r/>
            <w:r>
              <w:rPr>
                <w:rFonts w:ascii="Times New Roman" w:hAnsi="Times New Roman" w:eastAsia="宋体"/>
                <w:b w:val="0"/>
                <w:sz w:val="21"/>
              </w:rPr>
              <w:t>60</w:t>
            </w:r>
          </w:p>
        </w:tc>
      </w:tr>
      <w:tr>
        <w:tc>
          <w:tcPr>
            <w:tcW w:type="dxa" w:w="4317"/>
          </w:tcPr>
          <w:p>
            <w:pPr>
              <w:spacing w:after="20" w:before="20"/>
            </w:pPr>
            <w:r/>
            <w:r>
              <w:rPr>
                <w:rFonts w:ascii="Times New Roman" w:hAnsi="Times New Roman" w:eastAsia="宋体"/>
                <w:b w:val="0"/>
                <w:sz w:val="21"/>
              </w:rPr>
              <w:t>SCI、SSCI四区、A&amp;HCI、CSSCI期刊（集刊）、EI收录期刊（4类成果）</w:t>
            </w:r>
          </w:p>
        </w:tc>
        <w:tc>
          <w:tcPr>
            <w:tcW w:type="dxa" w:w="4317"/>
          </w:tcPr>
          <w:p>
            <w:pPr>
              <w:spacing w:after="20" w:before="20"/>
            </w:pPr>
            <w:r/>
            <w:r>
              <w:rPr>
                <w:rFonts w:ascii="Times New Roman" w:hAnsi="Times New Roman" w:eastAsia="宋体"/>
                <w:b w:val="0"/>
                <w:sz w:val="21"/>
              </w:rPr>
              <w:t>40</w:t>
            </w:r>
          </w:p>
        </w:tc>
      </w:tr>
      <w:tr>
        <w:tc>
          <w:tcPr>
            <w:tcW w:type="dxa" w:w="4317"/>
          </w:tcPr>
          <w:p>
            <w:pPr>
              <w:spacing w:after="20" w:before="20"/>
            </w:pPr>
            <w:r/>
            <w:r>
              <w:rPr>
                <w:rFonts w:ascii="Times New Roman" w:hAnsi="Times New Roman" w:eastAsia="宋体"/>
                <w:b w:val="0"/>
                <w:sz w:val="21"/>
              </w:rPr>
              <w:t>中文核心期刊（北大版“中文核心期刊要目总览（最新版）”所列）（5类成果）</w:t>
            </w:r>
          </w:p>
        </w:tc>
        <w:tc>
          <w:tcPr>
            <w:tcW w:type="dxa" w:w="4317"/>
          </w:tcPr>
          <w:p>
            <w:pPr>
              <w:spacing w:after="20" w:before="20"/>
            </w:pPr>
            <w:r/>
            <w:r>
              <w:rPr>
                <w:rFonts w:ascii="Times New Roman" w:hAnsi="Times New Roman" w:eastAsia="宋体"/>
                <w:b w:val="0"/>
                <w:sz w:val="21"/>
              </w:rPr>
              <w:t>20</w:t>
            </w:r>
          </w:p>
        </w:tc>
      </w:tr>
    </w:tbl>
    <w:p>
      <w:pPr>
        <w:spacing w:after="80" w:lineRule="auto" w:line="360"/>
        <w:ind w:firstLine="482"/>
        <w:jc w:val="both"/>
      </w:pPr>
      <w:r>
        <w:rPr>
          <w:rFonts w:ascii="Times New Roman" w:hAnsi="Times New Roman" w:eastAsia="宋体"/>
          <w:b w:val="0"/>
          <w:sz w:val="24"/>
        </w:rPr>
        <w:t>注：（1）论文须提交刊物封面、完整目录及文章的复印件，原件备查，如有录用通知需同时附汇款单复印件。</w:t>
      </w:r>
    </w:p>
    <w:p>
      <w:pPr>
        <w:spacing w:after="80" w:lineRule="auto" w:line="360"/>
        <w:ind w:firstLine="482"/>
        <w:jc w:val="both"/>
      </w:pPr>
      <w:r>
        <w:rPr>
          <w:rFonts w:ascii="Times New Roman" w:hAnsi="Times New Roman" w:eastAsia="宋体"/>
          <w:b w:val="0"/>
          <w:sz w:val="24"/>
        </w:rPr>
        <w:t>（2）授权发明专利需要提供证书复印件，原件备查。</w:t>
      </w:r>
    </w:p>
    <w:p>
      <w:pPr>
        <w:spacing w:after="80" w:lineRule="auto" w:line="360"/>
        <w:ind w:firstLine="482"/>
        <w:jc w:val="both"/>
      </w:pPr>
      <w:r>
        <w:rPr>
          <w:rFonts w:ascii="Times New Roman" w:hAnsi="Times New Roman" w:eastAsia="宋体"/>
          <w:b w:val="0"/>
          <w:sz w:val="24"/>
        </w:rPr>
        <w:t>（二）学术竞赛类成绩计算办法</w:t>
      </w:r>
    </w:p>
    <w:p>
      <w:pPr>
        <w:spacing w:after="80" w:lineRule="auto" w:line="360"/>
        <w:ind w:firstLine="482"/>
        <w:jc w:val="both"/>
      </w:pPr>
      <w:r>
        <w:rPr>
          <w:rFonts w:ascii="Times New Roman" w:hAnsi="Times New Roman" w:eastAsia="宋体"/>
          <w:b w:val="0"/>
          <w:sz w:val="24"/>
        </w:rPr>
        <w:t>作为主力成员（项目团队前3名）参加以下竞赛获国家级三等奖以上奖励：</w:t>
      </w:r>
    </w:p>
    <w:p>
      <w:pPr>
        <w:spacing w:after="80" w:lineRule="auto" w:line="360"/>
        <w:ind w:firstLine="482"/>
        <w:jc w:val="both"/>
      </w:pPr>
      <w:r>
        <w:rPr>
          <w:rFonts w:ascii="Times New Roman" w:hAnsi="Times New Roman" w:eastAsia="宋体"/>
          <w:b w:val="0"/>
          <w:sz w:val="24"/>
        </w:rPr>
        <w:t>1. 第1类学术竞赛：中国国际“互联网+”大学生创新创业大赛、“挑战杯”大学生课外学术科技作品竞赛、“挑战杯”大学生创业计划竞赛国家级赛事。具体计分标准如下：</w:t>
      </w:r>
    </w:p>
    <w:tbl>
      <w:tblPr>
        <w:tblStyle w:val="TableGrid"/>
        <w:tblW w:type="auto" w:w="0"/>
        <w:jc w:val="center"/>
        <w:tblLook w:firstColumn="1" w:firstRow="1" w:lastColumn="0" w:lastRow="0" w:noHBand="0" w:noVBand="1" w:val="04A0"/>
      </w:tblPr>
      <w:tblGrid>
        <w:gridCol w:w="2158"/>
        <w:gridCol w:w="2158"/>
        <w:gridCol w:w="2158"/>
        <w:gridCol w:w="2158"/>
      </w:tblGrid>
      <w:tr>
        <w:tc>
          <w:tcPr>
            <w:tcW w:type="dxa" w:w="2158"/>
          </w:tcPr>
          <w:p>
            <w:pPr>
              <w:spacing w:after="20" w:before="20"/>
            </w:pPr>
            <w:r/>
            <w:r>
              <w:rPr>
                <w:rFonts w:ascii="Times New Roman" w:hAnsi="Times New Roman" w:eastAsia="宋体"/>
                <w:b/>
                <w:sz w:val="21"/>
              </w:rPr>
              <w:t>获奖等级</w:t>
            </w:r>
          </w:p>
        </w:tc>
        <w:tc>
          <w:tcPr>
            <w:tcW w:type="dxa" w:w="2158"/>
          </w:tcPr>
          <w:p>
            <w:pPr>
              <w:spacing w:after="20" w:before="20"/>
            </w:pPr>
            <w:r/>
            <w:r>
              <w:rPr>
                <w:rFonts w:ascii="Times New Roman" w:hAnsi="Times New Roman" w:eastAsia="宋体"/>
                <w:b/>
                <w:sz w:val="21"/>
              </w:rPr>
              <w:t>一</w:t>
            </w:r>
          </w:p>
        </w:tc>
        <w:tc>
          <w:tcPr>
            <w:tcW w:type="dxa" w:w="2158"/>
          </w:tcPr>
          <w:p>
            <w:pPr>
              <w:spacing w:after="20" w:before="20"/>
            </w:pPr>
            <w:r/>
            <w:r>
              <w:rPr>
                <w:rFonts w:ascii="Times New Roman" w:hAnsi="Times New Roman" w:eastAsia="宋体"/>
                <w:b/>
                <w:sz w:val="21"/>
              </w:rPr>
              <w:t>二</w:t>
            </w:r>
          </w:p>
        </w:tc>
        <w:tc>
          <w:tcPr>
            <w:tcW w:type="dxa" w:w="2158"/>
          </w:tcPr>
          <w:p>
            <w:pPr>
              <w:spacing w:after="20" w:before="20"/>
            </w:pPr>
            <w:r/>
            <w:r>
              <w:rPr>
                <w:rFonts w:ascii="Times New Roman" w:hAnsi="Times New Roman" w:eastAsia="宋体"/>
                <w:b/>
                <w:sz w:val="21"/>
              </w:rPr>
              <w:t>三</w:t>
            </w:r>
          </w:p>
        </w:tc>
      </w:tr>
      <w:tr>
        <w:tc>
          <w:tcPr>
            <w:tcW w:type="dxa" w:w="2158"/>
          </w:tcPr>
          <w:p>
            <w:pPr>
              <w:spacing w:after="20" w:before="20"/>
            </w:pPr>
            <w:r/>
            <w:r>
              <w:rPr>
                <w:rFonts w:ascii="Times New Roman" w:hAnsi="Times New Roman" w:eastAsia="宋体"/>
                <w:b w:val="0"/>
                <w:sz w:val="21"/>
              </w:rPr>
              <w:t>国家级（第1类学术竞赛）</w:t>
            </w:r>
          </w:p>
        </w:tc>
        <w:tc>
          <w:tcPr>
            <w:tcW w:type="dxa" w:w="2158"/>
          </w:tcPr>
          <w:p>
            <w:pPr>
              <w:spacing w:after="20" w:before="20"/>
            </w:pPr>
            <w:r/>
            <w:r>
              <w:rPr>
                <w:rFonts w:ascii="Times New Roman" w:hAnsi="Times New Roman" w:eastAsia="宋体"/>
                <w:b w:val="0"/>
                <w:sz w:val="21"/>
              </w:rPr>
              <w:t>100</w:t>
            </w:r>
          </w:p>
        </w:tc>
        <w:tc>
          <w:tcPr>
            <w:tcW w:type="dxa" w:w="2158"/>
          </w:tcPr>
          <w:p>
            <w:pPr>
              <w:spacing w:after="20" w:before="20"/>
            </w:pPr>
            <w:r/>
            <w:r>
              <w:rPr>
                <w:rFonts w:ascii="Times New Roman" w:hAnsi="Times New Roman" w:eastAsia="宋体"/>
                <w:b w:val="0"/>
                <w:sz w:val="21"/>
              </w:rPr>
              <w:t>60</w:t>
            </w:r>
          </w:p>
        </w:tc>
        <w:tc>
          <w:tcPr>
            <w:tcW w:type="dxa" w:w="2158"/>
          </w:tcPr>
          <w:p>
            <w:pPr>
              <w:spacing w:after="20" w:before="20"/>
            </w:pPr>
            <w:r/>
            <w:r>
              <w:rPr>
                <w:rFonts w:ascii="Times New Roman" w:hAnsi="Times New Roman" w:eastAsia="宋体"/>
                <w:b w:val="0"/>
                <w:sz w:val="21"/>
              </w:rPr>
              <w:t>30</w:t>
            </w:r>
          </w:p>
        </w:tc>
      </w:tr>
    </w:tbl>
    <w:p>
      <w:pPr>
        <w:spacing w:after="80" w:lineRule="auto" w:line="360"/>
        <w:ind w:firstLine="482"/>
        <w:jc w:val="both"/>
      </w:pPr>
      <w:r>
        <w:rPr>
          <w:rFonts w:ascii="Times New Roman" w:hAnsi="Times New Roman" w:eastAsia="宋体"/>
          <w:b w:val="0"/>
          <w:sz w:val="24"/>
        </w:rPr>
        <w:t>2. 第2类学术竞赛：全国大学生机械创新设计大赛、全国大学生电子设计大赛、全国大学生工程训练综合能力竞赛、全国大学生交通科技大赛、全国三维数字化创新设计大赛、全国大学生智能汽车竞赛、全国大学生机器人大赛RoboMaster、全国大学生节能减排社会实践与科技竞赛、全国大学生先进成图技术与产品信息建模创新大赛、全国周培源大学生力学竞赛、中国大学生机械工程创新创意大赛、全国大学生嵌入式芯片与系统设计竞赛、中国高校智能机器人创意大赛，具有广泛影响力的学科竞赛，即中国高等教育学会最新发布的《中国高校创新人才培养暨学科竞赛评估结果》中遴选的竞赛项目国家级赛事。具体计分标准如下：</w:t>
      </w:r>
    </w:p>
    <w:tbl>
      <w:tblPr>
        <w:tblStyle w:val="TableGrid"/>
        <w:tblW w:type="auto" w:w="0"/>
        <w:jc w:val="center"/>
        <w:tblLook w:firstColumn="1" w:firstRow="1" w:lastColumn="0" w:lastRow="0" w:noHBand="0" w:noVBand="1" w:val="04A0"/>
      </w:tblPr>
      <w:tblGrid>
        <w:gridCol w:w="2158"/>
        <w:gridCol w:w="2158"/>
        <w:gridCol w:w="2158"/>
        <w:gridCol w:w="2158"/>
      </w:tblGrid>
      <w:tr>
        <w:tc>
          <w:tcPr>
            <w:tcW w:type="dxa" w:w="2158"/>
          </w:tcPr>
          <w:p>
            <w:pPr>
              <w:spacing w:after="20" w:before="20"/>
            </w:pPr>
            <w:r/>
            <w:r>
              <w:rPr>
                <w:rFonts w:ascii="Times New Roman" w:hAnsi="Times New Roman" w:eastAsia="宋体"/>
                <w:b/>
                <w:sz w:val="21"/>
              </w:rPr>
              <w:t>获奖等级</w:t>
            </w:r>
          </w:p>
        </w:tc>
        <w:tc>
          <w:tcPr>
            <w:tcW w:type="dxa" w:w="2158"/>
          </w:tcPr>
          <w:p>
            <w:pPr>
              <w:spacing w:after="20" w:before="20"/>
            </w:pPr>
            <w:r/>
            <w:r>
              <w:rPr>
                <w:rFonts w:ascii="Times New Roman" w:hAnsi="Times New Roman" w:eastAsia="宋体"/>
                <w:b/>
                <w:sz w:val="21"/>
              </w:rPr>
              <w:t>一</w:t>
            </w:r>
          </w:p>
        </w:tc>
        <w:tc>
          <w:tcPr>
            <w:tcW w:type="dxa" w:w="2158"/>
          </w:tcPr>
          <w:p>
            <w:pPr>
              <w:spacing w:after="20" w:before="20"/>
            </w:pPr>
            <w:r/>
            <w:r>
              <w:rPr>
                <w:rFonts w:ascii="Times New Roman" w:hAnsi="Times New Roman" w:eastAsia="宋体"/>
                <w:b/>
                <w:sz w:val="21"/>
              </w:rPr>
              <w:t>二</w:t>
            </w:r>
          </w:p>
        </w:tc>
        <w:tc>
          <w:tcPr>
            <w:tcW w:type="dxa" w:w="2158"/>
          </w:tcPr>
          <w:p>
            <w:pPr>
              <w:spacing w:after="20" w:before="20"/>
            </w:pPr>
            <w:r/>
            <w:r>
              <w:rPr>
                <w:rFonts w:ascii="Times New Roman" w:hAnsi="Times New Roman" w:eastAsia="宋体"/>
                <w:b/>
                <w:sz w:val="21"/>
              </w:rPr>
              <w:t>三</w:t>
            </w:r>
          </w:p>
        </w:tc>
      </w:tr>
      <w:tr>
        <w:tc>
          <w:tcPr>
            <w:tcW w:type="dxa" w:w="2158"/>
          </w:tcPr>
          <w:p>
            <w:pPr>
              <w:spacing w:after="20" w:before="20"/>
            </w:pPr>
            <w:r/>
            <w:r>
              <w:rPr>
                <w:rFonts w:ascii="Times New Roman" w:hAnsi="Times New Roman" w:eastAsia="宋体"/>
                <w:b w:val="0"/>
                <w:sz w:val="21"/>
              </w:rPr>
              <w:t>国家级（第2类学术竞赛）</w:t>
            </w:r>
          </w:p>
        </w:tc>
        <w:tc>
          <w:tcPr>
            <w:tcW w:type="dxa" w:w="2158"/>
          </w:tcPr>
          <w:p>
            <w:pPr>
              <w:spacing w:after="20" w:before="20"/>
            </w:pPr>
            <w:r/>
            <w:r>
              <w:rPr>
                <w:rFonts w:ascii="Times New Roman" w:hAnsi="Times New Roman" w:eastAsia="宋体"/>
                <w:b w:val="0"/>
                <w:sz w:val="21"/>
              </w:rPr>
              <w:t>30</w:t>
            </w:r>
          </w:p>
        </w:tc>
        <w:tc>
          <w:tcPr>
            <w:tcW w:type="dxa" w:w="2158"/>
          </w:tcPr>
          <w:p>
            <w:pPr>
              <w:spacing w:after="20" w:before="20"/>
            </w:pPr>
            <w:r/>
            <w:r>
              <w:rPr>
                <w:rFonts w:ascii="Times New Roman" w:hAnsi="Times New Roman" w:eastAsia="宋体"/>
                <w:b w:val="0"/>
                <w:sz w:val="21"/>
              </w:rPr>
              <w:t>20</w:t>
            </w:r>
          </w:p>
        </w:tc>
        <w:tc>
          <w:tcPr>
            <w:tcW w:type="dxa" w:w="2158"/>
          </w:tcPr>
          <w:p>
            <w:pPr>
              <w:spacing w:after="20" w:before="20"/>
            </w:pPr>
            <w:r/>
            <w:r>
              <w:rPr>
                <w:rFonts w:ascii="Times New Roman" w:hAnsi="Times New Roman" w:eastAsia="宋体"/>
                <w:b w:val="0"/>
                <w:sz w:val="21"/>
              </w:rPr>
              <w:t>10</w:t>
            </w:r>
          </w:p>
        </w:tc>
      </w:tr>
    </w:tbl>
    <w:p>
      <w:pPr>
        <w:spacing w:after="80" w:lineRule="auto" w:line="360"/>
        <w:ind w:firstLine="482"/>
        <w:jc w:val="both"/>
      </w:pPr>
      <w:r>
        <w:rPr>
          <w:rFonts w:ascii="Times New Roman" w:hAnsi="Times New Roman" w:eastAsia="宋体"/>
          <w:b w:val="0"/>
          <w:sz w:val="24"/>
        </w:rPr>
        <w:t>3. 省级赛事不计学术竞赛分。</w:t>
      </w:r>
    </w:p>
    <w:p>
      <w:pPr>
        <w:spacing w:before="160" w:after="80" w:lineRule="auto" w:line="360"/>
        <w:jc w:val="left"/>
      </w:pPr>
      <w:r>
        <w:rPr>
          <w:rFonts w:ascii="Times New Roman" w:hAnsi="Times New Roman" w:eastAsia="宋体"/>
          <w:b/>
          <w:sz w:val="28"/>
        </w:rPr>
        <w:t>二、综合素质成绩计算办法（总共5分）</w:t>
      </w:r>
    </w:p>
    <w:p>
      <w:pPr>
        <w:spacing w:after="80" w:lineRule="auto" w:line="360"/>
        <w:ind w:firstLine="482"/>
        <w:jc w:val="both"/>
      </w:pPr>
      <w:r>
        <w:rPr>
          <w:rFonts w:ascii="Times New Roman" w:hAnsi="Times New Roman" w:eastAsia="宋体"/>
          <w:b w:val="0"/>
          <w:sz w:val="24"/>
        </w:rPr>
        <w:t>推免生综合素质成绩=竞赛类成绩×0.025+社会实践类成绩×0.025</w:t>
      </w:r>
    </w:p>
    <w:p>
      <w:pPr>
        <w:spacing w:after="80" w:lineRule="auto" w:line="360"/>
        <w:ind w:firstLine="482"/>
        <w:jc w:val="both"/>
      </w:pPr>
      <w:r>
        <w:rPr>
          <w:rFonts w:ascii="Times New Roman" w:hAnsi="Times New Roman" w:eastAsia="宋体"/>
          <w:b w:val="0"/>
          <w:sz w:val="24"/>
        </w:rPr>
        <w:t>（一）竞赛类成绩计算办法</w:t>
      </w:r>
    </w:p>
    <w:p>
      <w:pPr>
        <w:spacing w:after="80" w:lineRule="auto" w:line="360"/>
        <w:ind w:firstLine="482"/>
        <w:jc w:val="both"/>
      </w:pPr>
      <w:r>
        <w:rPr>
          <w:rFonts w:ascii="Times New Roman" w:hAnsi="Times New Roman" w:eastAsia="宋体"/>
          <w:b w:val="0"/>
          <w:sz w:val="24"/>
        </w:rPr>
        <w:t>作为主力成员（项目团队前3名）参加以下竞赛获三等奖以上奖励：</w:t>
      </w:r>
    </w:p>
    <w:p>
      <w:pPr>
        <w:spacing w:after="80" w:lineRule="auto" w:line="360"/>
        <w:ind w:firstLine="482"/>
        <w:jc w:val="both"/>
      </w:pPr>
      <w:r>
        <w:rPr>
          <w:rFonts w:ascii="Times New Roman" w:hAnsi="Times New Roman" w:eastAsia="宋体"/>
          <w:b w:val="0"/>
          <w:sz w:val="24"/>
        </w:rPr>
        <w:t>1. 第1类竞赛：中国国际“互联网+”大学生创新创业大赛、“挑战杯”大学生课外学术科技作品竞赛、“挑战杯”大学生创业计划竞赛省级赛事。具体计分标准如下：</w:t>
      </w:r>
    </w:p>
    <w:tbl>
      <w:tblPr>
        <w:tblStyle w:val="TableGrid"/>
        <w:tblW w:type="auto" w:w="0"/>
        <w:jc w:val="center"/>
        <w:tblLook w:firstColumn="1" w:firstRow="1" w:lastColumn="0" w:lastRow="0" w:noHBand="0" w:noVBand="1" w:val="04A0"/>
      </w:tblPr>
      <w:tblGrid>
        <w:gridCol w:w="2158"/>
        <w:gridCol w:w="2158"/>
        <w:gridCol w:w="2158"/>
        <w:gridCol w:w="2158"/>
      </w:tblGrid>
      <w:tr>
        <w:tc>
          <w:tcPr>
            <w:tcW w:type="dxa" w:w="2158"/>
          </w:tcPr>
          <w:p>
            <w:pPr>
              <w:spacing w:after="20" w:before="20"/>
            </w:pPr>
            <w:r/>
            <w:r>
              <w:rPr>
                <w:rFonts w:ascii="Times New Roman" w:hAnsi="Times New Roman" w:eastAsia="宋体"/>
                <w:b/>
                <w:sz w:val="21"/>
              </w:rPr>
              <w:t>获奖等级</w:t>
            </w:r>
          </w:p>
        </w:tc>
        <w:tc>
          <w:tcPr>
            <w:tcW w:type="dxa" w:w="2158"/>
          </w:tcPr>
          <w:p>
            <w:pPr>
              <w:spacing w:after="20" w:before="20"/>
            </w:pPr>
            <w:r/>
            <w:r>
              <w:rPr>
                <w:rFonts w:ascii="Times New Roman" w:hAnsi="Times New Roman" w:eastAsia="宋体"/>
                <w:b/>
                <w:sz w:val="21"/>
              </w:rPr>
              <w:t>一</w:t>
            </w:r>
          </w:p>
        </w:tc>
        <w:tc>
          <w:tcPr>
            <w:tcW w:type="dxa" w:w="2158"/>
          </w:tcPr>
          <w:p>
            <w:pPr>
              <w:spacing w:after="20" w:before="20"/>
            </w:pPr>
            <w:r/>
            <w:r>
              <w:rPr>
                <w:rFonts w:ascii="Times New Roman" w:hAnsi="Times New Roman" w:eastAsia="宋体"/>
                <w:b/>
                <w:sz w:val="21"/>
              </w:rPr>
              <w:t>二</w:t>
            </w:r>
          </w:p>
        </w:tc>
        <w:tc>
          <w:tcPr>
            <w:tcW w:type="dxa" w:w="2158"/>
          </w:tcPr>
          <w:p>
            <w:pPr>
              <w:spacing w:after="20" w:before="20"/>
            </w:pPr>
            <w:r/>
            <w:r>
              <w:rPr>
                <w:rFonts w:ascii="Times New Roman" w:hAnsi="Times New Roman" w:eastAsia="宋体"/>
                <w:b/>
                <w:sz w:val="21"/>
              </w:rPr>
              <w:t>三</w:t>
            </w:r>
          </w:p>
        </w:tc>
      </w:tr>
      <w:tr>
        <w:tc>
          <w:tcPr>
            <w:tcW w:type="dxa" w:w="2158"/>
          </w:tcPr>
          <w:p>
            <w:pPr>
              <w:spacing w:after="20" w:before="20"/>
            </w:pPr>
            <w:r/>
            <w:r>
              <w:rPr>
                <w:rFonts w:ascii="Times New Roman" w:hAnsi="Times New Roman" w:eastAsia="宋体"/>
                <w:b w:val="0"/>
                <w:sz w:val="21"/>
              </w:rPr>
              <w:t>省级（第1类竞赛）</w:t>
            </w:r>
          </w:p>
        </w:tc>
        <w:tc>
          <w:tcPr>
            <w:tcW w:type="dxa" w:w="2158"/>
          </w:tcPr>
          <w:p>
            <w:pPr>
              <w:spacing w:after="20" w:before="20"/>
            </w:pPr>
            <w:r/>
            <w:r>
              <w:rPr>
                <w:rFonts w:ascii="Times New Roman" w:hAnsi="Times New Roman" w:eastAsia="宋体"/>
                <w:b w:val="0"/>
                <w:sz w:val="21"/>
              </w:rPr>
              <w:t>100</w:t>
            </w:r>
          </w:p>
        </w:tc>
        <w:tc>
          <w:tcPr>
            <w:tcW w:type="dxa" w:w="2158"/>
          </w:tcPr>
          <w:p>
            <w:pPr>
              <w:spacing w:after="20" w:before="20"/>
            </w:pPr>
            <w:r/>
            <w:r>
              <w:rPr>
                <w:rFonts w:ascii="Times New Roman" w:hAnsi="Times New Roman" w:eastAsia="宋体"/>
                <w:b w:val="0"/>
                <w:sz w:val="21"/>
              </w:rPr>
              <w:t>60</w:t>
            </w:r>
          </w:p>
        </w:tc>
        <w:tc>
          <w:tcPr>
            <w:tcW w:type="dxa" w:w="2158"/>
          </w:tcPr>
          <w:p>
            <w:pPr>
              <w:spacing w:after="20" w:before="20"/>
            </w:pPr>
            <w:r/>
            <w:r>
              <w:rPr>
                <w:rFonts w:ascii="Times New Roman" w:hAnsi="Times New Roman" w:eastAsia="宋体"/>
                <w:b w:val="0"/>
                <w:sz w:val="21"/>
              </w:rPr>
              <w:t>30</w:t>
            </w:r>
          </w:p>
        </w:tc>
      </w:tr>
    </w:tbl>
    <w:p>
      <w:pPr>
        <w:spacing w:after="80" w:lineRule="auto" w:line="360"/>
        <w:ind w:firstLine="482"/>
        <w:jc w:val="both"/>
      </w:pPr>
      <w:r>
        <w:rPr>
          <w:rFonts w:ascii="Times New Roman" w:hAnsi="Times New Roman" w:eastAsia="宋体"/>
          <w:b w:val="0"/>
          <w:sz w:val="24"/>
        </w:rPr>
        <w:t>2. 第2类竞赛：全国大学生机械创新设计大赛、全国大学生电子设计大赛、全国大学生工程训练综合能力竞赛、全国大学生交通科技大赛、全国三维数字化创新设计大赛、全国大学生智能汽车竞赛、全国大学生机器人大赛RoboMaster、全国大学生节能减排社会实践与科技竞赛、全国大学生先进成图技术与产品信息建模创新大赛、全国周培源大学生力学竞赛、中国大学生机械工程创新创意大赛、全国大学生嵌入式芯片与系统设计竞赛、中国高校智能机器人创意大赛，具有广泛影响力的学科竞赛，即中国高等教育学会最新发布的《中国高校创新人才培养暨学科竞赛评估结果》中遴选的竞赛项目省级赛事。具体计分标准如下：</w:t>
      </w:r>
    </w:p>
    <w:tbl>
      <w:tblPr>
        <w:tblStyle w:val="TableGrid"/>
        <w:tblW w:type="auto" w:w="0"/>
        <w:jc w:val="center"/>
        <w:tblLook w:firstColumn="1" w:firstRow="1" w:lastColumn="0" w:lastRow="0" w:noHBand="0" w:noVBand="1" w:val="04A0"/>
      </w:tblPr>
      <w:tblGrid>
        <w:gridCol w:w="2158"/>
        <w:gridCol w:w="2158"/>
        <w:gridCol w:w="2158"/>
        <w:gridCol w:w="2158"/>
      </w:tblGrid>
      <w:tr>
        <w:tc>
          <w:tcPr>
            <w:tcW w:type="dxa" w:w="2158"/>
          </w:tcPr>
          <w:p>
            <w:pPr>
              <w:spacing w:after="20" w:before="20"/>
            </w:pPr>
            <w:r/>
            <w:r>
              <w:rPr>
                <w:rFonts w:ascii="Times New Roman" w:hAnsi="Times New Roman" w:eastAsia="宋体"/>
                <w:b/>
                <w:sz w:val="21"/>
              </w:rPr>
              <w:t>获奖等级</w:t>
            </w:r>
          </w:p>
        </w:tc>
        <w:tc>
          <w:tcPr>
            <w:tcW w:type="dxa" w:w="2158"/>
          </w:tcPr>
          <w:p>
            <w:pPr>
              <w:spacing w:after="20" w:before="20"/>
            </w:pPr>
            <w:r/>
            <w:r>
              <w:rPr>
                <w:rFonts w:ascii="Times New Roman" w:hAnsi="Times New Roman" w:eastAsia="宋体"/>
                <w:b/>
                <w:sz w:val="21"/>
              </w:rPr>
              <w:t>一</w:t>
            </w:r>
          </w:p>
        </w:tc>
        <w:tc>
          <w:tcPr>
            <w:tcW w:type="dxa" w:w="2158"/>
          </w:tcPr>
          <w:p>
            <w:pPr>
              <w:spacing w:after="20" w:before="20"/>
            </w:pPr>
            <w:r/>
            <w:r>
              <w:rPr>
                <w:rFonts w:ascii="Times New Roman" w:hAnsi="Times New Roman" w:eastAsia="宋体"/>
                <w:b/>
                <w:sz w:val="21"/>
              </w:rPr>
              <w:t>二</w:t>
            </w:r>
          </w:p>
        </w:tc>
        <w:tc>
          <w:tcPr>
            <w:tcW w:type="dxa" w:w="2158"/>
          </w:tcPr>
          <w:p>
            <w:pPr>
              <w:spacing w:after="20" w:before="20"/>
            </w:pPr>
            <w:r/>
            <w:r>
              <w:rPr>
                <w:rFonts w:ascii="Times New Roman" w:hAnsi="Times New Roman" w:eastAsia="宋体"/>
                <w:b/>
                <w:sz w:val="21"/>
              </w:rPr>
              <w:t>三</w:t>
            </w:r>
          </w:p>
        </w:tc>
      </w:tr>
      <w:tr>
        <w:tc>
          <w:tcPr>
            <w:tcW w:type="dxa" w:w="2158"/>
          </w:tcPr>
          <w:p>
            <w:pPr>
              <w:spacing w:after="20" w:before="20"/>
            </w:pPr>
            <w:r/>
            <w:r>
              <w:rPr>
                <w:rFonts w:ascii="Times New Roman" w:hAnsi="Times New Roman" w:eastAsia="宋体"/>
                <w:b w:val="0"/>
                <w:sz w:val="21"/>
              </w:rPr>
              <w:t>省级（第2类竞赛）</w:t>
            </w:r>
          </w:p>
        </w:tc>
        <w:tc>
          <w:tcPr>
            <w:tcW w:type="dxa" w:w="2158"/>
          </w:tcPr>
          <w:p>
            <w:pPr>
              <w:spacing w:after="20" w:before="20"/>
            </w:pPr>
            <w:r/>
            <w:r>
              <w:rPr>
                <w:rFonts w:ascii="Times New Roman" w:hAnsi="Times New Roman" w:eastAsia="宋体"/>
                <w:b w:val="0"/>
                <w:sz w:val="21"/>
              </w:rPr>
              <w:t>50</w:t>
            </w:r>
          </w:p>
        </w:tc>
        <w:tc>
          <w:tcPr>
            <w:tcW w:type="dxa" w:w="2158"/>
          </w:tcPr>
          <w:p>
            <w:pPr>
              <w:spacing w:after="20" w:before="20"/>
            </w:pPr>
            <w:r/>
            <w:r>
              <w:rPr>
                <w:rFonts w:ascii="Times New Roman" w:hAnsi="Times New Roman" w:eastAsia="宋体"/>
                <w:b w:val="0"/>
                <w:sz w:val="21"/>
              </w:rPr>
              <w:t>30</w:t>
            </w:r>
          </w:p>
        </w:tc>
        <w:tc>
          <w:tcPr>
            <w:tcW w:type="dxa" w:w="2158"/>
          </w:tcPr>
          <w:p>
            <w:pPr>
              <w:spacing w:after="20" w:before="20"/>
            </w:pPr>
            <w:r/>
            <w:r>
              <w:rPr>
                <w:rFonts w:ascii="Times New Roman" w:hAnsi="Times New Roman" w:eastAsia="宋体"/>
                <w:b w:val="0"/>
                <w:sz w:val="21"/>
              </w:rPr>
              <w:t>15</w:t>
            </w:r>
          </w:p>
        </w:tc>
      </w:tr>
    </w:tbl>
    <w:p>
      <w:pPr>
        <w:spacing w:after="80" w:lineRule="auto" w:line="360"/>
        <w:ind w:firstLine="482"/>
        <w:jc w:val="both"/>
      </w:pPr>
      <w:r>
        <w:rPr>
          <w:rFonts w:ascii="Times New Roman" w:hAnsi="Times New Roman" w:eastAsia="宋体"/>
          <w:b w:val="0"/>
          <w:sz w:val="24"/>
        </w:rPr>
        <w:t>3. 第3类竞赛：国家部委及其司局，省级人民政府及其厅局、教育部高等学校教学指导工作委员会、专业学会主办的其他省部级及以上大学生竞赛。具体计分标准如下：</w:t>
      </w:r>
    </w:p>
    <w:tbl>
      <w:tblPr>
        <w:tblStyle w:val="TableGrid"/>
        <w:tblW w:type="auto" w:w="0"/>
        <w:jc w:val="center"/>
        <w:tblLook w:firstColumn="1" w:firstRow="1" w:lastColumn="0" w:lastRow="0" w:noHBand="0" w:noVBand="1" w:val="04A0"/>
      </w:tblPr>
      <w:tblGrid>
        <w:gridCol w:w="2158"/>
        <w:gridCol w:w="2158"/>
        <w:gridCol w:w="2158"/>
        <w:gridCol w:w="2158"/>
      </w:tblGrid>
      <w:tr>
        <w:tc>
          <w:tcPr>
            <w:tcW w:type="dxa" w:w="2158"/>
          </w:tcPr>
          <w:p>
            <w:pPr>
              <w:spacing w:after="20" w:before="20"/>
            </w:pPr>
            <w:r/>
            <w:r>
              <w:rPr>
                <w:rFonts w:ascii="Times New Roman" w:hAnsi="Times New Roman" w:eastAsia="宋体"/>
                <w:b/>
                <w:sz w:val="21"/>
              </w:rPr>
              <w:t>获奖等级</w:t>
            </w:r>
          </w:p>
        </w:tc>
        <w:tc>
          <w:tcPr>
            <w:tcW w:type="dxa" w:w="2158"/>
          </w:tcPr>
          <w:p>
            <w:pPr>
              <w:spacing w:after="20" w:before="20"/>
            </w:pPr>
            <w:r/>
            <w:r>
              <w:rPr>
                <w:rFonts w:ascii="Times New Roman" w:hAnsi="Times New Roman" w:eastAsia="宋体"/>
                <w:b/>
                <w:sz w:val="21"/>
              </w:rPr>
              <w:t>一</w:t>
            </w:r>
          </w:p>
        </w:tc>
        <w:tc>
          <w:tcPr>
            <w:tcW w:type="dxa" w:w="2158"/>
          </w:tcPr>
          <w:p>
            <w:pPr>
              <w:spacing w:after="20" w:before="20"/>
            </w:pPr>
            <w:r/>
            <w:r>
              <w:rPr>
                <w:rFonts w:ascii="Times New Roman" w:hAnsi="Times New Roman" w:eastAsia="宋体"/>
                <w:b/>
                <w:sz w:val="21"/>
              </w:rPr>
              <w:t>二</w:t>
            </w:r>
          </w:p>
        </w:tc>
        <w:tc>
          <w:tcPr>
            <w:tcW w:type="dxa" w:w="2158"/>
          </w:tcPr>
          <w:p>
            <w:pPr>
              <w:spacing w:after="20" w:before="20"/>
            </w:pPr>
            <w:r/>
            <w:r>
              <w:rPr>
                <w:rFonts w:ascii="Times New Roman" w:hAnsi="Times New Roman" w:eastAsia="宋体"/>
                <w:b/>
                <w:sz w:val="21"/>
              </w:rPr>
              <w:t>三</w:t>
            </w:r>
          </w:p>
        </w:tc>
      </w:tr>
      <w:tr>
        <w:tc>
          <w:tcPr>
            <w:tcW w:type="dxa" w:w="2158"/>
          </w:tcPr>
          <w:p>
            <w:pPr>
              <w:spacing w:after="20" w:before="20"/>
            </w:pPr>
            <w:r/>
            <w:r>
              <w:rPr>
                <w:rFonts w:ascii="Times New Roman" w:hAnsi="Times New Roman" w:eastAsia="宋体"/>
                <w:b w:val="0"/>
                <w:sz w:val="21"/>
              </w:rPr>
              <w:t>国家级（第3类竞赛）</w:t>
            </w:r>
          </w:p>
        </w:tc>
        <w:tc>
          <w:tcPr>
            <w:tcW w:type="dxa" w:w="2158"/>
          </w:tcPr>
          <w:p>
            <w:pPr>
              <w:spacing w:after="20" w:before="20"/>
            </w:pPr>
            <w:r/>
            <w:r>
              <w:rPr>
                <w:rFonts w:ascii="Times New Roman" w:hAnsi="Times New Roman" w:eastAsia="宋体"/>
                <w:b w:val="0"/>
                <w:sz w:val="21"/>
              </w:rPr>
              <w:t>30</w:t>
            </w:r>
          </w:p>
        </w:tc>
        <w:tc>
          <w:tcPr>
            <w:tcW w:type="dxa" w:w="2158"/>
          </w:tcPr>
          <w:p>
            <w:pPr>
              <w:spacing w:after="20" w:before="20"/>
            </w:pPr>
            <w:r/>
            <w:r>
              <w:rPr>
                <w:rFonts w:ascii="Times New Roman" w:hAnsi="Times New Roman" w:eastAsia="宋体"/>
                <w:b w:val="0"/>
                <w:sz w:val="21"/>
              </w:rPr>
              <w:t>25</w:t>
            </w:r>
          </w:p>
        </w:tc>
        <w:tc>
          <w:tcPr>
            <w:tcW w:type="dxa" w:w="2158"/>
          </w:tcPr>
          <w:p>
            <w:pPr>
              <w:spacing w:after="20" w:before="20"/>
            </w:pPr>
            <w:r/>
            <w:r>
              <w:rPr>
                <w:rFonts w:ascii="Times New Roman" w:hAnsi="Times New Roman" w:eastAsia="宋体"/>
                <w:b w:val="0"/>
                <w:sz w:val="21"/>
              </w:rPr>
              <w:t>20</w:t>
            </w:r>
          </w:p>
        </w:tc>
      </w:tr>
      <w:tr>
        <w:tc>
          <w:tcPr>
            <w:tcW w:type="dxa" w:w="2158"/>
          </w:tcPr>
          <w:p>
            <w:pPr>
              <w:spacing w:after="20" w:before="20"/>
            </w:pPr>
            <w:r/>
            <w:r>
              <w:rPr>
                <w:rFonts w:ascii="Times New Roman" w:hAnsi="Times New Roman" w:eastAsia="宋体"/>
                <w:b w:val="0"/>
                <w:sz w:val="21"/>
              </w:rPr>
              <w:t>省级（第3类竞赛）</w:t>
            </w:r>
          </w:p>
        </w:tc>
        <w:tc>
          <w:tcPr>
            <w:tcW w:type="dxa" w:w="2158"/>
          </w:tcPr>
          <w:p>
            <w:pPr>
              <w:spacing w:after="20" w:before="20"/>
            </w:pPr>
            <w:r/>
            <w:r>
              <w:rPr>
                <w:rFonts w:ascii="Times New Roman" w:hAnsi="Times New Roman" w:eastAsia="宋体"/>
                <w:b w:val="0"/>
                <w:sz w:val="21"/>
              </w:rPr>
              <w:t>15</w:t>
            </w:r>
          </w:p>
        </w:tc>
        <w:tc>
          <w:tcPr>
            <w:tcW w:type="dxa" w:w="2158"/>
          </w:tcPr>
          <w:p>
            <w:pPr>
              <w:spacing w:after="20" w:before="20"/>
            </w:pPr>
            <w:r/>
            <w:r>
              <w:rPr>
                <w:rFonts w:ascii="Times New Roman" w:hAnsi="Times New Roman" w:eastAsia="宋体"/>
                <w:b w:val="0"/>
                <w:sz w:val="21"/>
              </w:rPr>
              <w:t>10</w:t>
            </w:r>
          </w:p>
        </w:tc>
        <w:tc>
          <w:tcPr>
            <w:tcW w:type="dxa" w:w="2158"/>
          </w:tcPr>
          <w:p>
            <w:pPr>
              <w:spacing w:after="20" w:before="20"/>
            </w:pPr>
            <w:r/>
            <w:r>
              <w:rPr>
                <w:rFonts w:ascii="Times New Roman" w:hAnsi="Times New Roman" w:eastAsia="宋体"/>
                <w:b w:val="0"/>
                <w:sz w:val="21"/>
              </w:rPr>
              <w:t>5</w:t>
            </w:r>
          </w:p>
        </w:tc>
      </w:tr>
    </w:tbl>
    <w:p>
      <w:pPr>
        <w:spacing w:after="80" w:lineRule="auto" w:line="360"/>
        <w:ind w:firstLine="482"/>
        <w:jc w:val="both"/>
      </w:pPr>
      <w:r>
        <w:rPr>
          <w:rFonts w:ascii="Times New Roman" w:hAnsi="Times New Roman" w:eastAsia="宋体"/>
          <w:b w:val="0"/>
          <w:sz w:val="24"/>
        </w:rPr>
        <w:t>（二）社会实践类</w:t>
      </w:r>
    </w:p>
    <w:p>
      <w:pPr>
        <w:spacing w:after="80" w:lineRule="auto" w:line="360"/>
        <w:ind w:firstLine="482"/>
        <w:jc w:val="both"/>
      </w:pPr>
      <w:r>
        <w:rPr>
          <w:rFonts w:ascii="Times New Roman" w:hAnsi="Times New Roman" w:eastAsia="宋体"/>
          <w:b w:val="0"/>
          <w:sz w:val="24"/>
        </w:rPr>
        <w:t>1. 参加省级及以上社会实践、志愿服务。具体计分标准如下：</w:t>
      </w:r>
    </w:p>
    <w:tbl>
      <w:tblPr>
        <w:tblStyle w:val="TableGrid"/>
        <w:tblW w:type="auto" w:w="0"/>
        <w:jc w:val="center"/>
        <w:tblLook w:firstColumn="1" w:firstRow="1" w:lastColumn="0" w:lastRow="0" w:noHBand="0" w:noVBand="1" w:val="04A0"/>
      </w:tblPr>
      <w:tblGrid>
        <w:gridCol w:w="2878"/>
        <w:gridCol w:w="2878"/>
        <w:gridCol w:w="2878"/>
      </w:tblGrid>
      <w:tr>
        <w:tc>
          <w:tcPr>
            <w:tcW w:type="dxa" w:w="2878"/>
          </w:tcPr>
          <w:p>
            <w:pPr>
              <w:spacing w:after="20" w:before="20"/>
            </w:pPr>
            <w:r/>
            <w:r>
              <w:rPr>
                <w:rFonts w:ascii="Times New Roman" w:hAnsi="Times New Roman" w:eastAsia="宋体"/>
                <w:b/>
                <w:sz w:val="21"/>
              </w:rPr>
              <w:t>等级</w:t>
            </w:r>
          </w:p>
        </w:tc>
        <w:tc>
          <w:tcPr>
            <w:tcW w:type="dxa" w:w="2878"/>
          </w:tcPr>
          <w:p>
            <w:pPr>
              <w:spacing w:after="20" w:before="20"/>
            </w:pPr>
            <w:r/>
            <w:r>
              <w:rPr>
                <w:rFonts w:ascii="Times New Roman" w:hAnsi="Times New Roman" w:eastAsia="宋体"/>
                <w:b/>
                <w:sz w:val="21"/>
              </w:rPr>
              <w:t>社会实践</w:t>
            </w:r>
          </w:p>
        </w:tc>
        <w:tc>
          <w:tcPr>
            <w:tcW w:type="dxa" w:w="2878"/>
          </w:tcPr>
          <w:p>
            <w:pPr>
              <w:spacing w:after="20" w:before="20"/>
            </w:pPr>
            <w:r/>
            <w:r>
              <w:rPr>
                <w:rFonts w:ascii="Times New Roman" w:hAnsi="Times New Roman" w:eastAsia="宋体"/>
                <w:b/>
                <w:sz w:val="21"/>
              </w:rPr>
              <w:t>志愿服务</w:t>
            </w:r>
          </w:p>
        </w:tc>
      </w:tr>
      <w:tr>
        <w:tc>
          <w:tcPr>
            <w:tcW w:type="dxa" w:w="2878"/>
          </w:tcPr>
          <w:p>
            <w:pPr>
              <w:spacing w:after="20" w:before="20"/>
            </w:pPr>
            <w:r/>
            <w:r>
              <w:rPr>
                <w:rFonts w:ascii="Times New Roman" w:hAnsi="Times New Roman" w:eastAsia="宋体"/>
                <w:b w:val="0"/>
                <w:sz w:val="21"/>
              </w:rPr>
              <w:t>国家级</w:t>
            </w:r>
          </w:p>
        </w:tc>
        <w:tc>
          <w:tcPr>
            <w:tcW w:type="dxa" w:w="2878"/>
          </w:tcPr>
          <w:p>
            <w:pPr>
              <w:spacing w:after="20" w:before="20"/>
            </w:pPr>
            <w:r/>
            <w:r>
              <w:rPr>
                <w:rFonts w:ascii="Times New Roman" w:hAnsi="Times New Roman" w:eastAsia="宋体"/>
                <w:b w:val="0"/>
                <w:sz w:val="21"/>
              </w:rPr>
              <w:t>100</w:t>
            </w:r>
          </w:p>
        </w:tc>
        <w:tc>
          <w:tcPr>
            <w:tcW w:type="dxa" w:w="2878"/>
          </w:tcPr>
          <w:p>
            <w:pPr>
              <w:spacing w:after="20" w:before="20"/>
            </w:pPr>
            <w:r/>
            <w:r>
              <w:rPr>
                <w:rFonts w:ascii="Times New Roman" w:hAnsi="Times New Roman" w:eastAsia="宋体"/>
                <w:b w:val="0"/>
                <w:sz w:val="21"/>
              </w:rPr>
              <w:t>100</w:t>
            </w:r>
          </w:p>
        </w:tc>
      </w:tr>
      <w:tr>
        <w:tc>
          <w:tcPr>
            <w:tcW w:type="dxa" w:w="2878"/>
          </w:tcPr>
          <w:p>
            <w:pPr>
              <w:spacing w:after="20" w:before="20"/>
            </w:pPr>
            <w:r/>
            <w:r>
              <w:rPr>
                <w:rFonts w:ascii="Times New Roman" w:hAnsi="Times New Roman" w:eastAsia="宋体"/>
                <w:b w:val="0"/>
                <w:sz w:val="21"/>
              </w:rPr>
              <w:t>省级</w:t>
            </w:r>
          </w:p>
        </w:tc>
        <w:tc>
          <w:tcPr>
            <w:tcW w:type="dxa" w:w="2878"/>
          </w:tcPr>
          <w:p>
            <w:pPr>
              <w:spacing w:after="20" w:before="20"/>
            </w:pPr>
            <w:r/>
            <w:r>
              <w:rPr>
                <w:rFonts w:ascii="Times New Roman" w:hAnsi="Times New Roman" w:eastAsia="宋体"/>
                <w:b w:val="0"/>
                <w:sz w:val="21"/>
              </w:rPr>
              <w:t>50</w:t>
            </w:r>
          </w:p>
        </w:tc>
        <w:tc>
          <w:tcPr>
            <w:tcW w:type="dxa" w:w="2878"/>
          </w:tcPr>
          <w:p>
            <w:pPr>
              <w:spacing w:after="20" w:before="20"/>
            </w:pPr>
            <w:r/>
            <w:r>
              <w:rPr>
                <w:rFonts w:ascii="Times New Roman" w:hAnsi="Times New Roman" w:eastAsia="宋体"/>
                <w:b w:val="0"/>
                <w:sz w:val="21"/>
              </w:rPr>
              <w:t>50</w:t>
            </w:r>
          </w:p>
        </w:tc>
      </w:tr>
    </w:tbl>
    <w:p>
      <w:pPr>
        <w:spacing w:after="80" w:lineRule="auto" w:line="360"/>
        <w:ind w:firstLine="482"/>
        <w:jc w:val="both"/>
      </w:pPr>
      <w:r>
        <w:rPr>
          <w:rFonts w:ascii="Times New Roman" w:hAnsi="Times New Roman" w:eastAsia="宋体"/>
          <w:b w:val="0"/>
          <w:sz w:val="24"/>
        </w:rPr>
        <w:t>备注：参加社会实践、志愿服务获得省级及以上优秀团队，取前3名，奖励分值按排名顺序递减（1/0.6/0.4）。</w:t>
      </w:r>
    </w:p>
    <w:p>
      <w:pPr>
        <w:spacing w:after="80" w:lineRule="auto" w:line="360"/>
        <w:ind w:firstLine="482"/>
        <w:jc w:val="both"/>
      </w:pPr>
      <w:r>
        <w:rPr>
          <w:rFonts w:ascii="Times New Roman" w:hAnsi="Times New Roman" w:eastAsia="宋体"/>
          <w:b w:val="0"/>
          <w:sz w:val="24"/>
        </w:rPr>
        <w:t>2. 在校期间参军入伍服兵役、到国际组织实习。具体计分标准如下：</w:t>
      </w:r>
    </w:p>
    <w:tbl>
      <w:tblPr>
        <w:tblStyle w:val="TableGrid"/>
        <w:tblW w:type="auto" w:w="0"/>
        <w:jc w:val="center"/>
        <w:tblLook w:firstColumn="1" w:firstRow="1" w:lastColumn="0" w:lastRow="0" w:noHBand="0" w:noVBand="1" w:val="04A0"/>
      </w:tblPr>
      <w:tblGrid>
        <w:gridCol w:w="4317"/>
        <w:gridCol w:w="4317"/>
      </w:tblGrid>
      <w:tr>
        <w:tc>
          <w:tcPr>
            <w:tcW w:type="dxa" w:w="4317"/>
          </w:tcPr>
          <w:p>
            <w:pPr>
              <w:spacing w:after="20" w:before="20"/>
            </w:pPr>
            <w:r/>
            <w:r>
              <w:rPr>
                <w:rFonts w:ascii="Times New Roman" w:hAnsi="Times New Roman" w:eastAsia="宋体"/>
                <w:b/>
                <w:sz w:val="21"/>
              </w:rPr>
              <w:t>项目</w:t>
            </w:r>
          </w:p>
        </w:tc>
        <w:tc>
          <w:tcPr>
            <w:tcW w:type="dxa" w:w="4317"/>
          </w:tcPr>
          <w:p>
            <w:pPr>
              <w:spacing w:after="20" w:before="20"/>
            </w:pPr>
            <w:r/>
            <w:r>
              <w:rPr>
                <w:rFonts w:ascii="Times New Roman" w:hAnsi="Times New Roman" w:eastAsia="宋体"/>
                <w:b/>
                <w:sz w:val="21"/>
              </w:rPr>
              <w:t>分值</w:t>
            </w:r>
          </w:p>
        </w:tc>
      </w:tr>
      <w:tr>
        <w:tc>
          <w:tcPr>
            <w:tcW w:type="dxa" w:w="4317"/>
          </w:tcPr>
          <w:p>
            <w:pPr>
              <w:spacing w:after="20" w:before="20"/>
            </w:pPr>
            <w:r/>
            <w:r>
              <w:rPr>
                <w:rFonts w:ascii="Times New Roman" w:hAnsi="Times New Roman" w:eastAsia="宋体"/>
                <w:b w:val="0"/>
                <w:sz w:val="21"/>
              </w:rPr>
              <w:t>参军入伍服兵役</w:t>
            </w:r>
          </w:p>
        </w:tc>
        <w:tc>
          <w:tcPr>
            <w:tcW w:type="dxa" w:w="4317"/>
          </w:tcPr>
          <w:p>
            <w:pPr>
              <w:spacing w:after="20" w:before="20"/>
            </w:pPr>
            <w:r/>
            <w:r>
              <w:rPr>
                <w:rFonts w:ascii="Times New Roman" w:hAnsi="Times New Roman" w:eastAsia="宋体"/>
                <w:b w:val="0"/>
                <w:sz w:val="21"/>
              </w:rPr>
              <w:t>100</w:t>
            </w:r>
          </w:p>
        </w:tc>
      </w:tr>
      <w:tr>
        <w:tc>
          <w:tcPr>
            <w:tcW w:type="dxa" w:w="4317"/>
          </w:tcPr>
          <w:p>
            <w:pPr>
              <w:spacing w:after="20" w:before="20"/>
            </w:pPr>
            <w:r/>
            <w:r>
              <w:rPr>
                <w:rFonts w:ascii="Times New Roman" w:hAnsi="Times New Roman" w:eastAsia="宋体"/>
                <w:b w:val="0"/>
                <w:sz w:val="21"/>
              </w:rPr>
              <w:t>国际组织实习</w:t>
            </w:r>
          </w:p>
        </w:tc>
        <w:tc>
          <w:tcPr>
            <w:tcW w:type="dxa" w:w="4317"/>
          </w:tcPr>
          <w:p>
            <w:pPr>
              <w:spacing w:after="20" w:before="20"/>
            </w:pPr>
            <w:r/>
            <w:r>
              <w:rPr>
                <w:rFonts w:ascii="Times New Roman" w:hAnsi="Times New Roman" w:eastAsia="宋体"/>
                <w:b w:val="0"/>
                <w:sz w:val="21"/>
              </w:rPr>
              <w:t>100</w:t>
            </w:r>
          </w:p>
        </w:tc>
      </w:tr>
    </w:tbl>
    <w:p>
      <w:pPr>
        <w:spacing w:before="160" w:after="80" w:lineRule="auto" w:line="360"/>
        <w:jc w:val="left"/>
      </w:pPr>
      <w:r>
        <w:rPr>
          <w:rFonts w:ascii="Times New Roman" w:hAnsi="Times New Roman" w:eastAsia="宋体"/>
          <w:b/>
          <w:sz w:val="28"/>
        </w:rPr>
        <w:t>三、其他说明</w:t>
      </w:r>
    </w:p>
    <w:p>
      <w:pPr>
        <w:spacing w:after="80" w:lineRule="auto" w:line="360"/>
        <w:ind w:firstLine="482"/>
        <w:jc w:val="both"/>
      </w:pPr>
      <w:r>
        <w:rPr>
          <w:rFonts w:ascii="Times New Roman" w:hAnsi="Times New Roman" w:eastAsia="宋体"/>
          <w:b w:val="0"/>
          <w:sz w:val="24"/>
        </w:rPr>
        <w:t>1. 认定的特殊学术专长加分计入学术专长成绩，认定的综合素质加分计入学生本科阶段综合素质成绩。</w:t>
      </w:r>
    </w:p>
    <w:p>
      <w:pPr>
        <w:spacing w:after="80" w:lineRule="auto" w:line="360"/>
        <w:ind w:firstLine="482"/>
        <w:jc w:val="both"/>
      </w:pPr>
      <w:r>
        <w:rPr>
          <w:rFonts w:ascii="Times New Roman" w:hAnsi="Times New Roman" w:eastAsia="宋体"/>
          <w:b w:val="0"/>
          <w:sz w:val="24"/>
        </w:rPr>
        <w:t>2. 学生在学术成果类、学术竞赛类、竞赛类、社会实践类各类中有多项加分情况时，只取1项，以最高分计分，不累计加分。</w:t>
      </w:r>
    </w:p>
    <w:p>
      <w:pPr>
        <w:spacing w:after="80" w:lineRule="auto" w:line="360"/>
        <w:ind w:firstLine="482"/>
        <w:jc w:val="both"/>
      </w:pPr>
      <w:r>
        <w:rPr>
          <w:rFonts w:ascii="Times New Roman" w:hAnsi="Times New Roman" w:eastAsia="宋体"/>
          <w:b w:val="0"/>
          <w:sz w:val="24"/>
        </w:rPr>
        <w:t>3. 同一项竞赛同时获得国家级、省级奖励时，仅取最高奖励，不可同时获得学术专长和综合素质加分。</w:t>
      </w:r>
    </w:p>
    <w:p>
      <w:pPr>
        <w:spacing w:after="80" w:lineRule="auto" w:line="360"/>
        <w:ind w:firstLine="482"/>
        <w:jc w:val="both"/>
      </w:pPr>
      <w:r>
        <w:rPr>
          <w:rFonts w:ascii="Times New Roman" w:hAnsi="Times New Roman" w:eastAsia="宋体"/>
          <w:b w:val="0"/>
          <w:sz w:val="24"/>
        </w:rPr>
        <w:t>4. 金银铜奖分别对应一二三等奖，如有特等奖，则视为一等奖。</w:t>
      </w:r>
    </w:p>
    <w:p>
      <w:pPr>
        <w:spacing w:after="80" w:lineRule="auto" w:line="360"/>
        <w:ind w:firstLine="482"/>
        <w:jc w:val="both"/>
      </w:pPr>
      <w:r>
        <w:rPr>
          <w:rFonts w:ascii="Times New Roman" w:hAnsi="Times New Roman" w:eastAsia="宋体"/>
          <w:b w:val="0"/>
          <w:sz w:val="24"/>
        </w:rPr>
        <w:t>5. 团队项目获奖只计排名前3的骨干成员，奖励分值按排名顺序递减（1/0.6/0.4）。</w:t>
      </w:r>
    </w:p>
    <w:p>
      <w:pPr>
        <w:spacing w:after="80" w:lineRule="auto" w:line="360"/>
        <w:ind w:firstLine="482"/>
        <w:jc w:val="both"/>
      </w:pPr>
      <w:r>
        <w:rPr>
          <w:rFonts w:ascii="Times New Roman" w:hAnsi="Times New Roman" w:eastAsia="宋体"/>
          <w:b w:val="0"/>
          <w:sz w:val="24"/>
        </w:rPr>
        <w:t>6. 竞赛获奖证明以获奖证书或举办单位文件为准，社会实践类需提供相关证明材料。</w:t>
      </w:r>
    </w:p>
    <w:p>
      <w:pPr>
        <w:spacing w:after="80" w:lineRule="auto" w:line="360"/>
        <w:ind w:firstLine="482"/>
        <w:jc w:val="both"/>
      </w:pPr>
      <w:r>
        <w:rPr>
          <w:rFonts w:ascii="Times New Roman" w:hAnsi="Times New Roman" w:eastAsia="宋体"/>
          <w:b w:val="0"/>
          <w:sz w:val="24"/>
        </w:rPr>
        <w:t>7. 学术专长及综合素质业绩认定截止到开展推免工作当年的八月三十一日。</w:t>
      </w:r>
    </w:p>
    <w:p>
      <w:pPr>
        <w:spacing w:after="80" w:lineRule="auto" w:line="360"/>
        <w:ind w:firstLine="482"/>
        <w:jc w:val="both"/>
      </w:pPr>
      <w:r>
        <w:rPr>
          <w:rFonts w:ascii="Times New Roman" w:hAnsi="Times New Roman" w:eastAsia="宋体"/>
          <w:b w:val="0"/>
          <w:sz w:val="24"/>
        </w:rPr>
        <w:t>8. 对于不区分团队成员排名的项目，成员按项目加分总分／参与者人数，分别计算分值。</w:t>
      </w:r>
    </w:p>
    <w:p>
      <w:pPr>
        <w:spacing w:after="80" w:lineRule="auto" w:line="360"/>
        <w:ind w:firstLine="482"/>
        <w:jc w:val="both"/>
      </w:pPr>
      <w:r>
        <w:rPr>
          <w:rFonts w:ascii="Times New Roman" w:hAnsi="Times New Roman" w:eastAsia="宋体"/>
          <w:b w:val="0"/>
          <w:sz w:val="24"/>
        </w:rPr>
        <w:t>9. 未尽事宜，机电与车辆工程学院推荐优秀应届本科毕业生免试攻读硕士学位研究生工作领导小组负责解释。</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