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新能源学院推荐优秀应届本科毕业生免试攻读2026年研究生工作实施细则</w:t>
      </w:r>
    </w:p>
    <w:p>
      <w:pPr>
        <w:spacing w:after="80" w:lineRule="auto" w:line="360"/>
        <w:ind w:firstLine="482"/>
        <w:jc w:val="both"/>
      </w:pPr>
      <w:r>
        <w:rPr>
          <w:rFonts w:ascii="Times New Roman" w:hAnsi="Times New Roman" w:eastAsia="宋体"/>
          <w:b w:val="0"/>
          <w:sz w:val="24"/>
        </w:rPr>
        <w:t>依据学校《关于做好2026年推荐优秀应届本科毕业生免试攻读研究生工作的通知》要求，为做好学院推荐优秀应届毕业生免试攻读研究生（以下简称推免）工作，结合学院实际情况，特制定本实施细则。</w:t>
      </w:r>
    </w:p>
    <w:p>
      <w:pPr>
        <w:spacing w:after="80" w:lineRule="auto" w:line="360"/>
        <w:ind w:firstLine="482"/>
        <w:jc w:val="both"/>
      </w:pPr>
      <w:r>
        <w:rPr>
          <w:rFonts w:ascii="Times New Roman" w:hAnsi="Times New Roman" w:eastAsia="宋体"/>
          <w:b w:val="0"/>
          <w:sz w:val="24"/>
        </w:rPr>
        <w:t>发布日期（推定）：2025年9月4日</w:t>
      </w:r>
    </w:p>
    <w:p>
      <w:pPr>
        <w:spacing w:before="160" w:after="80" w:lineRule="auto" w:line="360"/>
        <w:jc w:val="left"/>
      </w:pPr>
      <w:r>
        <w:rPr>
          <w:rFonts w:ascii="Times New Roman" w:hAnsi="Times New Roman" w:eastAsia="宋体"/>
          <w:b/>
          <w:sz w:val="28"/>
        </w:rPr>
        <w:t>一、基本原则</w:t>
      </w:r>
    </w:p>
    <w:p>
      <w:pPr>
        <w:spacing w:after="80" w:lineRule="auto" w:line="360"/>
        <w:ind w:firstLine="482"/>
        <w:jc w:val="both"/>
      </w:pPr>
      <w:r>
        <w:rPr>
          <w:rFonts w:ascii="Times New Roman" w:hAnsi="Times New Roman" w:eastAsia="宋体"/>
          <w:b w:val="0"/>
          <w:sz w:val="24"/>
        </w:rPr>
        <w:t>遵循“公开、公平、公正”的原则，坚持全面考查、综合评价、注重创新、择优选拔，确保生源质量，同时促进和激励学生勤奋学习、勇于创新、综合发展。</w:t>
      </w:r>
    </w:p>
    <w:p>
      <w:pPr>
        <w:spacing w:before="160" w:after="80" w:lineRule="auto" w:line="360"/>
        <w:jc w:val="left"/>
      </w:pPr>
      <w:r>
        <w:rPr>
          <w:rFonts w:ascii="Times New Roman" w:hAnsi="Times New Roman" w:eastAsia="宋体"/>
          <w:b/>
          <w:sz w:val="28"/>
        </w:rPr>
        <w:t>二、组织领导</w:t>
      </w:r>
    </w:p>
    <w:p>
      <w:pPr>
        <w:spacing w:after="80" w:lineRule="auto" w:line="360"/>
        <w:ind w:firstLine="482"/>
        <w:jc w:val="both"/>
      </w:pPr>
      <w:r>
        <w:rPr>
          <w:rFonts w:ascii="Times New Roman" w:hAnsi="Times New Roman" w:eastAsia="宋体"/>
          <w:b w:val="0"/>
          <w:sz w:val="24"/>
        </w:rPr>
        <w:t>学院成立推免生遴选工作小组，全面负责2026年学院研究生推免工作，成员如下：</w:t>
      </w:r>
    </w:p>
    <w:p>
      <w:pPr>
        <w:spacing w:after="80" w:lineRule="auto" w:line="360"/>
        <w:ind w:firstLine="482"/>
        <w:jc w:val="both"/>
      </w:pPr>
      <w:r>
        <w:rPr>
          <w:rFonts w:ascii="Times New Roman" w:hAnsi="Times New Roman" w:eastAsia="宋体"/>
          <w:b w:val="0"/>
          <w:sz w:val="24"/>
        </w:rPr>
        <w:t>组 长：巩 亮</w:t>
      </w:r>
    </w:p>
    <w:p>
      <w:pPr>
        <w:spacing w:after="80" w:lineRule="auto" w:line="360"/>
        <w:ind w:firstLine="482"/>
        <w:jc w:val="both"/>
      </w:pPr>
      <w:r>
        <w:rPr>
          <w:rFonts w:ascii="Times New Roman" w:hAnsi="Times New Roman" w:eastAsia="宋体"/>
          <w:b w:val="0"/>
          <w:sz w:val="24"/>
        </w:rPr>
        <w:t>副组长：仉志华 成宏涛</w:t>
      </w:r>
    </w:p>
    <w:p>
      <w:pPr>
        <w:spacing w:after="80" w:lineRule="auto" w:line="360"/>
        <w:ind w:firstLine="482"/>
        <w:jc w:val="both"/>
      </w:pPr>
      <w:r>
        <w:rPr>
          <w:rFonts w:ascii="Times New Roman" w:hAnsi="Times New Roman" w:eastAsia="宋体"/>
          <w:b w:val="0"/>
          <w:sz w:val="24"/>
        </w:rPr>
        <w:t>成 员：王振波 赵仁德 李 强 姜 烨 白 章 代鹏程</w:t>
      </w:r>
    </w:p>
    <w:p>
      <w:pPr>
        <w:spacing w:after="80" w:lineRule="auto" w:line="360"/>
        <w:ind w:firstLine="482"/>
        <w:jc w:val="both"/>
      </w:pPr>
      <w:r>
        <w:rPr>
          <w:rFonts w:ascii="Times New Roman" w:hAnsi="Times New Roman" w:eastAsia="宋体"/>
          <w:b w:val="0"/>
          <w:sz w:val="24"/>
        </w:rPr>
        <w:t>秘书组：张 涔 骆浩冉</w:t>
      </w:r>
    </w:p>
    <w:p>
      <w:pPr>
        <w:spacing w:after="80" w:lineRule="auto" w:line="360"/>
        <w:ind w:firstLine="482"/>
        <w:jc w:val="both"/>
      </w:pPr>
      <w:r>
        <w:rPr>
          <w:rFonts w:ascii="Times New Roman" w:hAnsi="Times New Roman" w:eastAsia="宋体"/>
          <w:b w:val="0"/>
          <w:sz w:val="24"/>
        </w:rPr>
        <w:t>工作小组的职责：落实学校的文件精神，制定学院研究生推免工作的实施细则和工作计划，处理推免工作中出现的各种特殊情况和问题，核实和审定各类材料。</w:t>
      </w:r>
    </w:p>
    <w:p>
      <w:pPr>
        <w:spacing w:after="80" w:lineRule="auto" w:line="360"/>
        <w:ind w:firstLine="482"/>
        <w:jc w:val="both"/>
      </w:pPr>
      <w:r>
        <w:rPr>
          <w:rFonts w:ascii="Times New Roman" w:hAnsi="Times New Roman" w:eastAsia="宋体"/>
          <w:b w:val="0"/>
          <w:sz w:val="24"/>
        </w:rPr>
        <w:t>学院成立综合素质发展材料审核专家组，成员如下：</w:t>
      </w:r>
    </w:p>
    <w:p>
      <w:pPr>
        <w:spacing w:after="80" w:lineRule="auto" w:line="360"/>
        <w:ind w:firstLine="482"/>
        <w:jc w:val="both"/>
      </w:pPr>
      <w:r>
        <w:rPr>
          <w:rFonts w:ascii="Times New Roman" w:hAnsi="Times New Roman" w:eastAsia="宋体"/>
          <w:b w:val="0"/>
          <w:sz w:val="24"/>
        </w:rPr>
        <w:t>组 长：仉志华</w:t>
      </w:r>
    </w:p>
    <w:p>
      <w:pPr>
        <w:spacing w:after="80" w:lineRule="auto" w:line="360"/>
        <w:ind w:firstLine="482"/>
        <w:jc w:val="both"/>
      </w:pPr>
      <w:r>
        <w:rPr>
          <w:rFonts w:ascii="Times New Roman" w:hAnsi="Times New Roman" w:eastAsia="宋体"/>
          <w:b w:val="0"/>
          <w:sz w:val="24"/>
        </w:rPr>
        <w:t>成 员：赵仁德 李 强 姜 烨 孙治谦 白 章 代鹏程</w:t>
      </w:r>
    </w:p>
    <w:p>
      <w:pPr>
        <w:spacing w:after="80" w:lineRule="auto" w:line="360"/>
        <w:ind w:firstLine="482"/>
        <w:jc w:val="both"/>
      </w:pPr>
      <w:r>
        <w:rPr>
          <w:rFonts w:ascii="Times New Roman" w:hAnsi="Times New Roman" w:eastAsia="宋体"/>
          <w:b w:val="0"/>
          <w:sz w:val="24"/>
        </w:rPr>
        <w:t>学院同时成立监督工作小组，成员如下：</w:t>
      </w:r>
    </w:p>
    <w:p>
      <w:pPr>
        <w:spacing w:after="80" w:lineRule="auto" w:line="360"/>
        <w:ind w:firstLine="482"/>
        <w:jc w:val="both"/>
      </w:pPr>
      <w:r>
        <w:rPr>
          <w:rFonts w:ascii="Times New Roman" w:hAnsi="Times New Roman" w:eastAsia="宋体"/>
          <w:b w:val="0"/>
          <w:sz w:val="24"/>
        </w:rPr>
        <w:t>组 长：陈灵泉</w:t>
      </w:r>
    </w:p>
    <w:p>
      <w:pPr>
        <w:spacing w:after="80" w:lineRule="auto" w:line="360"/>
        <w:ind w:firstLine="482"/>
        <w:jc w:val="both"/>
      </w:pPr>
      <w:r>
        <w:rPr>
          <w:rFonts w:ascii="Times New Roman" w:hAnsi="Times New Roman" w:eastAsia="宋体"/>
          <w:b w:val="0"/>
          <w:sz w:val="24"/>
        </w:rPr>
        <w:t>成 员：赵东亚 马文忠 林日亿 张洪泉</w:t>
      </w:r>
    </w:p>
    <w:p>
      <w:pPr>
        <w:spacing w:after="80" w:lineRule="auto" w:line="360"/>
        <w:ind w:firstLine="482"/>
        <w:jc w:val="both"/>
      </w:pPr>
      <w:r>
        <w:rPr>
          <w:rFonts w:ascii="Times New Roman" w:hAnsi="Times New Roman" w:eastAsia="宋体"/>
          <w:b w:val="0"/>
          <w:sz w:val="24"/>
        </w:rPr>
        <w:t>监督小组的职责：全程监督学院2026年研究生推免工作。</w:t>
      </w:r>
    </w:p>
    <w:p>
      <w:pPr>
        <w:spacing w:before="160" w:after="80" w:lineRule="auto" w:line="360"/>
        <w:jc w:val="left"/>
      </w:pPr>
      <w:r>
        <w:rPr>
          <w:rFonts w:ascii="Times New Roman" w:hAnsi="Times New Roman" w:eastAsia="宋体"/>
          <w:b/>
          <w:sz w:val="28"/>
        </w:rPr>
        <w:t>三、推免的基本条件</w:t>
      </w:r>
    </w:p>
    <w:p>
      <w:pPr>
        <w:spacing w:after="80" w:lineRule="auto" w:line="360"/>
        <w:ind w:firstLine="482"/>
        <w:jc w:val="both"/>
      </w:pPr>
      <w:r>
        <w:rPr>
          <w:rFonts w:ascii="Times New Roman" w:hAnsi="Times New Roman" w:eastAsia="宋体"/>
          <w:b w:val="0"/>
          <w:sz w:val="24"/>
        </w:rPr>
        <w:t>1. 拥护中国共产党的领导，品德良好、遵纪守法，诚实守信，身心素质良好，无受处分或违法违纪记录，思想品德考核不合格者不予推荐。</w:t>
      </w:r>
    </w:p>
    <w:p>
      <w:pPr>
        <w:spacing w:after="80" w:lineRule="auto" w:line="360"/>
        <w:ind w:firstLine="482"/>
        <w:jc w:val="both"/>
      </w:pPr>
      <w:r>
        <w:rPr>
          <w:rFonts w:ascii="Times New Roman" w:hAnsi="Times New Roman" w:eastAsia="宋体"/>
          <w:b w:val="0"/>
          <w:sz w:val="24"/>
        </w:rPr>
        <w:t>2. 具有较强的创新意识和研究能力，符合全面发展、具备研究生的培养潜质。</w:t>
      </w:r>
    </w:p>
    <w:p>
      <w:pPr>
        <w:spacing w:after="80" w:lineRule="auto" w:line="360"/>
        <w:ind w:firstLine="482"/>
        <w:jc w:val="both"/>
      </w:pPr>
      <w:r>
        <w:rPr>
          <w:rFonts w:ascii="Times New Roman" w:hAnsi="Times New Roman" w:eastAsia="宋体"/>
          <w:b w:val="0"/>
          <w:sz w:val="24"/>
        </w:rPr>
        <w:t>3. 修完并通过前3年专业培养计划中规定的课程，且无必修、限选课不及格记录。</w:t>
      </w:r>
    </w:p>
    <w:p>
      <w:pPr>
        <w:spacing w:after="80" w:lineRule="auto" w:line="360"/>
        <w:ind w:firstLine="482"/>
        <w:jc w:val="both"/>
      </w:pPr>
      <w:r>
        <w:rPr>
          <w:rFonts w:ascii="Times New Roman" w:hAnsi="Times New Roman" w:eastAsia="宋体"/>
          <w:b w:val="0"/>
          <w:sz w:val="24"/>
        </w:rPr>
        <w:t>对学业成绩优秀或确有学科专长或有较为突出的、与本学科专业相关的科技创新成果或学科竞赛奖励、或在申请研究生支教团、辅导员推免计划中学生工作特别突出的学生，必修、限选课程不及格记录总计不超过2门次，且无欠学分情况，且至少符合下列条件之一：</w:t>
      </w:r>
    </w:p>
    <w:p>
      <w:pPr>
        <w:spacing w:after="80" w:lineRule="auto" w:line="360"/>
        <w:ind w:firstLine="482"/>
        <w:jc w:val="both"/>
      </w:pPr>
      <w:r>
        <w:rPr>
          <w:rFonts w:ascii="Times New Roman" w:hAnsi="Times New Roman" w:eastAsia="宋体"/>
          <w:b w:val="0"/>
          <w:sz w:val="24"/>
        </w:rPr>
        <w:t>（1）学业成绩优秀：学业成绩位列本专业前10%；</w:t>
      </w:r>
    </w:p>
    <w:p>
      <w:pPr>
        <w:spacing w:after="80" w:lineRule="auto" w:line="360"/>
        <w:ind w:firstLine="482"/>
        <w:jc w:val="both"/>
      </w:pPr>
      <w:r>
        <w:rPr>
          <w:rFonts w:ascii="Times New Roman" w:hAnsi="Times New Roman" w:eastAsia="宋体"/>
          <w:b w:val="0"/>
          <w:sz w:val="24"/>
        </w:rPr>
        <w:t>（2）确有学科专长：学科基础课平均分≥85分或专业核心课程平均分≥90分；</w:t>
      </w:r>
    </w:p>
    <w:p>
      <w:pPr>
        <w:spacing w:after="80" w:lineRule="auto" w:line="360"/>
        <w:ind w:firstLine="482"/>
        <w:jc w:val="both"/>
      </w:pPr>
      <w:r>
        <w:rPr>
          <w:rFonts w:ascii="Times New Roman" w:hAnsi="Times New Roman" w:eastAsia="宋体"/>
          <w:b w:val="0"/>
          <w:sz w:val="24"/>
        </w:rPr>
        <w:t>（3）有较为突出的、与本学科专业相关的科技创新成果或学科竞赛奖励应符合以下条件之一：</w:t>
      </w:r>
    </w:p>
    <w:p>
      <w:pPr>
        <w:spacing w:after="80" w:lineRule="auto" w:line="360"/>
        <w:ind w:firstLine="482"/>
        <w:jc w:val="both"/>
      </w:pPr>
      <w:r>
        <w:rPr>
          <w:rFonts w:ascii="Times New Roman" w:hAnsi="Times New Roman" w:eastAsia="宋体"/>
          <w:b w:val="0"/>
          <w:sz w:val="24"/>
        </w:rPr>
        <w:t>①竞赛获奖。获得“三大赛”（“挑战杯”系列竞赛、中国国际大学生创新大赛）省级奖项及以上，团队成员中国家级奖项全部成员，省级一等奖前3名、二等奖前2名，其他等级奖为负责人；获得学校认定的A、B类学科竞赛全国三等奖及以上，团队成员中前5名（2022年12月31日及以前已获得的奖励，按团队成员本科生中前5名认定）。A、B 类学科竞赛名单由学校认定并发布，学生竞赛获奖类别按照参赛当年学校发布的竞赛类别认定。</w:t>
      </w:r>
    </w:p>
    <w:p>
      <w:pPr>
        <w:spacing w:after="80" w:lineRule="auto" w:line="360"/>
        <w:ind w:firstLine="482"/>
        <w:jc w:val="both"/>
      </w:pPr>
      <w:r>
        <w:rPr>
          <w:rFonts w:ascii="Times New Roman" w:hAnsi="Times New Roman" w:eastAsia="宋体"/>
          <w:b w:val="0"/>
          <w:sz w:val="24"/>
        </w:rPr>
        <w:t>②科研成果。学生以独立作者或第一作者发表的，或指导教师为第一作者、学生为第二作者（含指导教师和学生共同第一作者）发表的与学业相关的论文（会议论文及增刊除外），期刊及类别参照学校科技处发布的科研论文期刊分类目录执行；学生以第一发明人获得与学业相关的国内外授权发明专利。</w:t>
      </w:r>
    </w:p>
    <w:p>
      <w:pPr>
        <w:spacing w:after="80" w:lineRule="auto" w:line="360"/>
        <w:ind w:firstLine="482"/>
        <w:jc w:val="both"/>
      </w:pPr>
      <w:r>
        <w:rPr>
          <w:rFonts w:ascii="Times New Roman" w:hAnsi="Times New Roman" w:eastAsia="宋体"/>
          <w:b w:val="0"/>
          <w:sz w:val="24"/>
        </w:rPr>
        <w:t>论文和专利必须以中国石油大学（华东）为第一署名单位，论文和专利成果必须来自作者本人在学校开展的科学研究和实践活动。论文或专利认定原则上以期刊或专利授权证书原件为准，特殊情况应提供能够证明论文和专利真实性的材料；指导教师为第一作者、学生为第二作者（含指导教师和学生共同第一作者）的论文，须同时提供由指导教师出具、客观陈述学生在成果中所做的实际贡献的推荐信。</w:t>
      </w:r>
    </w:p>
    <w:p>
      <w:pPr>
        <w:spacing w:after="80" w:lineRule="auto" w:line="360"/>
        <w:ind w:firstLine="482"/>
        <w:jc w:val="both"/>
      </w:pPr>
      <w:r>
        <w:rPr>
          <w:rFonts w:ascii="Times New Roman" w:hAnsi="Times New Roman" w:eastAsia="宋体"/>
          <w:b w:val="0"/>
          <w:sz w:val="24"/>
        </w:rPr>
        <w:t>对于缓考课程未出成绩的学生，如其他学期必修、限选课程无挂科记录，可放宽一门次缓考未出成绩，且学业成绩位列本专业前15%或确有学科专长（符合学校关于综合发展素质评价答辩的工作要求）。</w:t>
      </w:r>
    </w:p>
    <w:p>
      <w:pPr>
        <w:spacing w:after="80" w:lineRule="auto" w:line="360"/>
        <w:ind w:firstLine="482"/>
        <w:jc w:val="both"/>
      </w:pPr>
      <w:r>
        <w:rPr>
          <w:rFonts w:ascii="Times New Roman" w:hAnsi="Times New Roman" w:eastAsia="宋体"/>
          <w:b w:val="0"/>
          <w:sz w:val="24"/>
        </w:rPr>
        <w:t>4. 外语成绩要求。非外语专业英语语种学生，英语（CET4）成绩不低于426分，或雅思成绩不低于5.5分、托福成绩不低于70分;非外语专业其他语种学生，相应语种国家四级考试成绩不低于60分。</w:t>
      </w:r>
    </w:p>
    <w:p>
      <w:pPr>
        <w:spacing w:after="80" w:lineRule="auto" w:line="360"/>
        <w:ind w:firstLine="482"/>
        <w:jc w:val="both"/>
      </w:pPr>
      <w:r>
        <w:rPr>
          <w:rFonts w:ascii="Times New Roman" w:hAnsi="Times New Roman" w:eastAsia="宋体"/>
          <w:b w:val="0"/>
          <w:sz w:val="24"/>
        </w:rPr>
        <w:t>5. 本专业学业成绩位列专业前50%。</w:t>
      </w:r>
    </w:p>
    <w:p>
      <w:pPr>
        <w:spacing w:before="160" w:after="80" w:lineRule="auto" w:line="360"/>
        <w:jc w:val="left"/>
      </w:pPr>
      <w:r>
        <w:rPr>
          <w:rFonts w:ascii="Times New Roman" w:hAnsi="Times New Roman" w:eastAsia="宋体"/>
          <w:b/>
          <w:sz w:val="28"/>
        </w:rPr>
        <w:t>四、推免类型</w:t>
      </w:r>
    </w:p>
    <w:p>
      <w:pPr>
        <w:spacing w:after="80" w:lineRule="auto" w:line="360"/>
        <w:ind w:firstLine="482"/>
        <w:jc w:val="both"/>
      </w:pPr>
      <w:r>
        <w:rPr>
          <w:rFonts w:ascii="Times New Roman" w:hAnsi="Times New Roman" w:eastAsia="宋体"/>
          <w:b w:val="0"/>
          <w:sz w:val="24"/>
        </w:rPr>
        <w:t>推免生分为普通类推免生和其他类推免生。2025届普通应届本科毕业生根据自身实际情况，可申请普通类推免生或其他类推免生。</w:t>
      </w:r>
    </w:p>
    <w:p>
      <w:pPr>
        <w:spacing w:after="80" w:lineRule="auto" w:line="360"/>
        <w:ind w:firstLine="482"/>
        <w:jc w:val="both"/>
      </w:pPr>
      <w:r>
        <w:rPr>
          <w:rFonts w:ascii="Times New Roman" w:hAnsi="Times New Roman" w:eastAsia="宋体"/>
          <w:b w:val="0"/>
          <w:sz w:val="24"/>
        </w:rPr>
        <w:t>（一）普通类推免生</w:t>
      </w:r>
    </w:p>
    <w:p>
      <w:pPr>
        <w:spacing w:after="80" w:lineRule="auto" w:line="360"/>
        <w:ind w:firstLine="482"/>
        <w:jc w:val="both"/>
      </w:pPr>
      <w:r>
        <w:rPr>
          <w:rFonts w:ascii="Times New Roman" w:hAnsi="Times New Roman" w:eastAsia="宋体"/>
          <w:b w:val="0"/>
          <w:sz w:val="24"/>
        </w:rPr>
        <w:t>1. 学生同时满足推免条件1-5，可向其所在院部提交推免申请。</w:t>
      </w:r>
    </w:p>
    <w:p>
      <w:pPr>
        <w:spacing w:after="80" w:lineRule="auto" w:line="360"/>
        <w:ind w:firstLine="482"/>
        <w:jc w:val="both"/>
      </w:pPr>
      <w:r>
        <w:rPr>
          <w:rFonts w:ascii="Times New Roman" w:hAnsi="Times New Roman" w:eastAsia="宋体"/>
          <w:b w:val="0"/>
          <w:sz w:val="24"/>
        </w:rPr>
        <w:t>2.参加国内、国外校际交流项目的学生，交流期间的成绩在推免工作启动时达到学校认定要求的，可申请推免研究生。</w:t>
      </w:r>
    </w:p>
    <w:p>
      <w:pPr>
        <w:spacing w:after="80" w:lineRule="auto" w:line="360"/>
        <w:ind w:firstLine="482"/>
        <w:jc w:val="both"/>
      </w:pPr>
      <w:r>
        <w:rPr>
          <w:rFonts w:ascii="Times New Roman" w:hAnsi="Times New Roman" w:eastAsia="宋体"/>
          <w:b w:val="0"/>
          <w:sz w:val="24"/>
        </w:rPr>
        <w:t>3. 非个人原因未能取得培养计划要求学分的，由学生所在院部予以核实，认定其是否满足推免条件。</w:t>
      </w:r>
    </w:p>
    <w:p>
      <w:pPr>
        <w:spacing w:after="80" w:lineRule="auto" w:line="360"/>
        <w:ind w:firstLine="482"/>
        <w:jc w:val="both"/>
      </w:pPr>
      <w:r>
        <w:rPr>
          <w:rFonts w:ascii="Times New Roman" w:hAnsi="Times New Roman" w:eastAsia="宋体"/>
          <w:b w:val="0"/>
          <w:sz w:val="24"/>
        </w:rPr>
        <w:t>4.已计划本科毕业后赴境外留学的学生，不能申请推免资格。</w:t>
      </w:r>
    </w:p>
    <w:p>
      <w:pPr>
        <w:spacing w:after="80" w:lineRule="auto" w:line="360"/>
        <w:ind w:firstLine="482"/>
        <w:jc w:val="both"/>
      </w:pPr>
      <w:r>
        <w:rPr>
          <w:rFonts w:ascii="Times New Roman" w:hAnsi="Times New Roman" w:eastAsia="宋体"/>
          <w:b w:val="0"/>
          <w:sz w:val="24"/>
        </w:rPr>
        <w:t>（二）其他类推免生</w:t>
      </w:r>
    </w:p>
    <w:p>
      <w:pPr>
        <w:spacing w:after="80" w:lineRule="auto" w:line="360"/>
        <w:ind w:firstLine="482"/>
        <w:jc w:val="both"/>
      </w:pPr>
      <w:r>
        <w:rPr>
          <w:rFonts w:ascii="Times New Roman" w:hAnsi="Times New Roman" w:eastAsia="宋体"/>
          <w:b w:val="0"/>
          <w:sz w:val="24"/>
        </w:rPr>
        <w:t>1. 理科实验班学生推免按照理科实验班相关管理规定执行。</w:t>
      </w:r>
    </w:p>
    <w:p>
      <w:pPr>
        <w:spacing w:after="80" w:lineRule="auto" w:line="360"/>
        <w:ind w:firstLine="482"/>
        <w:jc w:val="both"/>
      </w:pPr>
      <w:r>
        <w:rPr>
          <w:rFonts w:ascii="Times New Roman" w:hAnsi="Times New Roman" w:eastAsia="宋体"/>
          <w:b w:val="0"/>
          <w:sz w:val="24"/>
        </w:rPr>
        <w:t>2. 本研一体班学生推免按照本研一体班相关管理规定执行。</w:t>
      </w:r>
    </w:p>
    <w:p>
      <w:pPr>
        <w:spacing w:after="80" w:lineRule="auto" w:line="360"/>
        <w:ind w:firstLine="482"/>
        <w:jc w:val="both"/>
      </w:pPr>
      <w:r>
        <w:rPr>
          <w:rFonts w:ascii="Times New Roman" w:hAnsi="Times New Roman" w:eastAsia="宋体"/>
          <w:b w:val="0"/>
          <w:sz w:val="24"/>
        </w:rPr>
        <w:t>3. 研究生支教团、国防科工招生单位接收外校推免生名额补偿等专项推免计划，相关工作按照推免工作规定及有关专门文件执行。</w:t>
      </w:r>
    </w:p>
    <w:p>
      <w:pPr>
        <w:spacing w:before="160" w:after="80" w:lineRule="auto" w:line="360"/>
        <w:jc w:val="left"/>
      </w:pPr>
      <w:r>
        <w:rPr>
          <w:rFonts w:ascii="Times New Roman" w:hAnsi="Times New Roman" w:eastAsia="宋体"/>
          <w:b/>
          <w:sz w:val="28"/>
        </w:rPr>
        <w:t>五、申请材料与审核</w:t>
      </w:r>
    </w:p>
    <w:p>
      <w:pPr>
        <w:spacing w:after="80" w:lineRule="auto" w:line="360"/>
        <w:ind w:firstLine="482"/>
        <w:jc w:val="both"/>
      </w:pPr>
      <w:r>
        <w:rPr>
          <w:rFonts w:ascii="Times New Roman" w:hAnsi="Times New Roman" w:eastAsia="宋体"/>
          <w:b w:val="0"/>
          <w:sz w:val="24"/>
        </w:rPr>
        <w:t>1. 学生通过数字石大e站通，根据申请推免的不同类别网上填报《中国石油大学（华东）推荐免试攻读研究生资格申请表》，并上传证明材料。</w:t>
      </w:r>
    </w:p>
    <w:p>
      <w:pPr>
        <w:spacing w:after="80" w:lineRule="auto" w:line="360"/>
        <w:ind w:firstLine="482"/>
        <w:jc w:val="both"/>
      </w:pPr>
      <w:r>
        <w:rPr>
          <w:rFonts w:ascii="Times New Roman" w:hAnsi="Times New Roman" w:eastAsia="宋体"/>
          <w:b w:val="0"/>
          <w:sz w:val="24"/>
        </w:rPr>
        <w:t>2. 学院通过数字石大e站通，补充完善相关学生信息、上传成绩单，并进行审核，确认学生是否符合推免条件。</w:t>
      </w:r>
    </w:p>
    <w:p>
      <w:pPr>
        <w:spacing w:before="160" w:after="80" w:lineRule="auto" w:line="360"/>
        <w:jc w:val="left"/>
      </w:pPr>
      <w:r>
        <w:rPr>
          <w:rFonts w:ascii="Times New Roman" w:hAnsi="Times New Roman" w:eastAsia="宋体"/>
          <w:b/>
          <w:sz w:val="28"/>
        </w:rPr>
        <w:t>六、推免名额</w:t>
      </w:r>
    </w:p>
    <w:p>
      <w:pPr>
        <w:spacing w:after="80" w:lineRule="auto" w:line="360"/>
        <w:ind w:firstLine="482"/>
        <w:jc w:val="both"/>
      </w:pPr>
      <w:r>
        <w:rPr>
          <w:rFonts w:ascii="Times New Roman" w:hAnsi="Times New Roman" w:eastAsia="宋体"/>
          <w:b w:val="0"/>
          <w:sz w:val="24"/>
        </w:rPr>
        <w:t>学院根据学校下达的推免名额，按照教育部文件要求，遵循“学科、学位点、专业建设一体化，招生、培养、就业一体化”原则，按照“基数+贡献”的导向，重点向“战略急需”“培优学科”“拔尖创新”领域倾斜，优先支持国家重大科技创新平台建设、重大科研任务攻关以及“双一流”学科建设，统筹考虑国家一流专业双万计划，重点服务国家能源战略和区域经济发展，结合学校人才培养平台建设情况、本科生源质量和创新创业发展质量，结合各专业目前的应届本科毕业生人数，确定各专业普通生推免名额如下：</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本科专业</w:t>
            </w:r>
          </w:p>
        </w:tc>
        <w:tc>
          <w:tcPr>
            <w:tcW w:type="dxa" w:w="2878"/>
          </w:tcPr>
          <w:p>
            <w:pPr>
              <w:spacing w:after="20" w:before="20"/>
            </w:pPr>
            <w:r/>
            <w:r>
              <w:rPr>
                <w:rFonts w:ascii="Times New Roman" w:hAnsi="Times New Roman" w:eastAsia="宋体"/>
                <w:b/>
                <w:sz w:val="21"/>
              </w:rPr>
              <w:t>学生人数</w:t>
            </w:r>
          </w:p>
        </w:tc>
        <w:tc>
          <w:tcPr>
            <w:tcW w:type="dxa" w:w="2878"/>
          </w:tcPr>
          <w:p>
            <w:pPr>
              <w:spacing w:after="20" w:before="20"/>
            </w:pPr>
            <w:r/>
            <w:r>
              <w:rPr>
                <w:rFonts w:ascii="Times New Roman" w:hAnsi="Times New Roman" w:eastAsia="宋体"/>
                <w:b/>
                <w:sz w:val="21"/>
              </w:rPr>
              <w:t>推免人数</w:t>
            </w:r>
          </w:p>
        </w:tc>
      </w:tr>
      <w:tr>
        <w:tc>
          <w:tcPr>
            <w:tcW w:type="dxa" w:w="2878"/>
          </w:tcPr>
          <w:p>
            <w:pPr>
              <w:spacing w:after="20" w:before="20"/>
            </w:pPr>
            <w:r/>
            <w:r>
              <w:rPr>
                <w:rFonts w:ascii="Times New Roman" w:hAnsi="Times New Roman" w:eastAsia="宋体"/>
                <w:b w:val="0"/>
                <w:sz w:val="21"/>
              </w:rPr>
              <w:t>过程装备与控制工程</w:t>
            </w:r>
          </w:p>
        </w:tc>
        <w:tc>
          <w:tcPr>
            <w:tcW w:type="dxa" w:w="2878"/>
          </w:tcPr>
          <w:p>
            <w:pPr>
              <w:spacing w:after="20" w:before="20"/>
            </w:pPr>
            <w:r/>
            <w:r>
              <w:rPr>
                <w:rFonts w:ascii="Times New Roman" w:hAnsi="Times New Roman" w:eastAsia="宋体"/>
                <w:b w:val="0"/>
                <w:sz w:val="21"/>
              </w:rPr>
              <w:t>110</w:t>
            </w:r>
          </w:p>
        </w:tc>
        <w:tc>
          <w:tcPr>
            <w:tcW w:type="dxa" w:w="2878"/>
          </w:tcPr>
          <w:p>
            <w:pPr>
              <w:spacing w:after="20" w:before="20"/>
            </w:pPr>
            <w:r/>
            <w:r>
              <w:rPr>
                <w:rFonts w:ascii="Times New Roman" w:hAnsi="Times New Roman" w:eastAsia="宋体"/>
                <w:b w:val="0"/>
                <w:sz w:val="21"/>
              </w:rPr>
              <w:t>17</w:t>
            </w:r>
          </w:p>
        </w:tc>
      </w:tr>
      <w:tr>
        <w:tc>
          <w:tcPr>
            <w:tcW w:type="dxa" w:w="2878"/>
          </w:tcPr>
          <w:p>
            <w:pPr>
              <w:spacing w:after="20" w:before="20"/>
            </w:pPr>
            <w:r/>
            <w:r>
              <w:rPr>
                <w:rFonts w:ascii="Times New Roman" w:hAnsi="Times New Roman" w:eastAsia="宋体"/>
                <w:b w:val="0"/>
                <w:sz w:val="21"/>
              </w:rPr>
              <w:t>能源与动力工程</w:t>
            </w:r>
          </w:p>
        </w:tc>
        <w:tc>
          <w:tcPr>
            <w:tcW w:type="dxa" w:w="2878"/>
          </w:tcPr>
          <w:p>
            <w:pPr>
              <w:spacing w:after="20" w:before="20"/>
            </w:pPr>
            <w:r/>
            <w:r>
              <w:rPr>
                <w:rFonts w:ascii="Times New Roman" w:hAnsi="Times New Roman" w:eastAsia="宋体"/>
                <w:b w:val="0"/>
                <w:sz w:val="21"/>
              </w:rPr>
              <w:t>90</w:t>
            </w:r>
          </w:p>
        </w:tc>
        <w:tc>
          <w:tcPr>
            <w:tcW w:type="dxa" w:w="2878"/>
          </w:tcPr>
          <w:p>
            <w:pPr>
              <w:spacing w:after="20" w:before="20"/>
            </w:pPr>
            <w:r/>
            <w:r>
              <w:rPr>
                <w:rFonts w:ascii="Times New Roman" w:hAnsi="Times New Roman" w:eastAsia="宋体"/>
                <w:b w:val="0"/>
                <w:sz w:val="21"/>
              </w:rPr>
              <w:t>14</w:t>
            </w:r>
          </w:p>
        </w:tc>
      </w:tr>
      <w:tr>
        <w:tc>
          <w:tcPr>
            <w:tcW w:type="dxa" w:w="2878"/>
          </w:tcPr>
          <w:p>
            <w:pPr>
              <w:spacing w:after="20" w:before="20"/>
            </w:pPr>
            <w:r/>
            <w:r>
              <w:rPr>
                <w:rFonts w:ascii="Times New Roman" w:hAnsi="Times New Roman" w:eastAsia="宋体"/>
                <w:b w:val="0"/>
                <w:sz w:val="21"/>
              </w:rPr>
              <w:t>环保设备工程</w:t>
            </w:r>
          </w:p>
        </w:tc>
        <w:tc>
          <w:tcPr>
            <w:tcW w:type="dxa" w:w="2878"/>
          </w:tcPr>
          <w:p>
            <w:pPr>
              <w:spacing w:after="20" w:before="20"/>
            </w:pPr>
            <w:r/>
            <w:r>
              <w:rPr>
                <w:rFonts w:ascii="Times New Roman" w:hAnsi="Times New Roman" w:eastAsia="宋体"/>
                <w:b w:val="0"/>
                <w:sz w:val="21"/>
              </w:rPr>
              <w:t>54</w:t>
            </w:r>
          </w:p>
        </w:tc>
        <w:tc>
          <w:tcPr>
            <w:tcW w:type="dxa" w:w="2878"/>
          </w:tcPr>
          <w:p>
            <w:pPr>
              <w:spacing w:after="20" w:before="20"/>
            </w:pPr>
            <w:r/>
            <w:r>
              <w:rPr>
                <w:rFonts w:ascii="Times New Roman" w:hAnsi="Times New Roman" w:eastAsia="宋体"/>
                <w:b w:val="0"/>
                <w:sz w:val="21"/>
              </w:rPr>
              <w:t>8</w:t>
            </w:r>
          </w:p>
        </w:tc>
      </w:tr>
      <w:tr>
        <w:tc>
          <w:tcPr>
            <w:tcW w:type="dxa" w:w="2878"/>
          </w:tcPr>
          <w:p>
            <w:pPr>
              <w:spacing w:after="20" w:before="20"/>
            </w:pPr>
            <w:r/>
            <w:r>
              <w:rPr>
                <w:rFonts w:ascii="Times New Roman" w:hAnsi="Times New Roman" w:eastAsia="宋体"/>
                <w:b w:val="0"/>
                <w:sz w:val="21"/>
              </w:rPr>
              <w:t>电气工程及其自动化</w:t>
            </w:r>
          </w:p>
        </w:tc>
        <w:tc>
          <w:tcPr>
            <w:tcW w:type="dxa" w:w="2878"/>
          </w:tcPr>
          <w:p>
            <w:pPr>
              <w:spacing w:after="20" w:before="20"/>
            </w:pPr>
            <w:r/>
            <w:r>
              <w:rPr>
                <w:rFonts w:ascii="Times New Roman" w:hAnsi="Times New Roman" w:eastAsia="宋体"/>
                <w:b w:val="0"/>
                <w:sz w:val="21"/>
              </w:rPr>
              <w:t>173</w:t>
            </w:r>
          </w:p>
        </w:tc>
        <w:tc>
          <w:tcPr>
            <w:tcW w:type="dxa" w:w="2878"/>
          </w:tcPr>
          <w:p>
            <w:pPr>
              <w:spacing w:after="20" w:before="20"/>
            </w:pPr>
            <w:r/>
            <w:r>
              <w:rPr>
                <w:rFonts w:ascii="Times New Roman" w:hAnsi="Times New Roman" w:eastAsia="宋体"/>
                <w:b w:val="0"/>
                <w:sz w:val="21"/>
              </w:rPr>
              <w:t>27</w:t>
            </w:r>
          </w:p>
        </w:tc>
      </w:tr>
      <w:tr>
        <w:tc>
          <w:tcPr>
            <w:tcW w:type="dxa" w:w="2878"/>
          </w:tcPr>
          <w:p>
            <w:pPr>
              <w:spacing w:after="20" w:before="20"/>
            </w:pPr>
            <w:r/>
            <w:r>
              <w:rPr>
                <w:rFonts w:ascii="Times New Roman" w:hAnsi="Times New Roman" w:eastAsia="宋体"/>
                <w:b w:val="0"/>
                <w:sz w:val="21"/>
              </w:rPr>
              <w:t>新能源科学与工程</w:t>
            </w:r>
          </w:p>
        </w:tc>
        <w:tc>
          <w:tcPr>
            <w:tcW w:type="dxa" w:w="2878"/>
          </w:tcPr>
          <w:p>
            <w:pPr>
              <w:spacing w:after="20" w:before="20"/>
            </w:pPr>
            <w:r/>
            <w:r>
              <w:rPr>
                <w:rFonts w:ascii="Times New Roman" w:hAnsi="Times New Roman" w:eastAsia="宋体"/>
                <w:b w:val="0"/>
                <w:sz w:val="21"/>
              </w:rPr>
              <w:t>35</w:t>
            </w:r>
          </w:p>
        </w:tc>
        <w:tc>
          <w:tcPr>
            <w:tcW w:type="dxa" w:w="2878"/>
          </w:tcPr>
          <w:p>
            <w:pPr>
              <w:spacing w:after="20" w:before="20"/>
            </w:pPr>
            <w:r/>
            <w:r>
              <w:rPr>
                <w:rFonts w:ascii="Times New Roman" w:hAnsi="Times New Roman" w:eastAsia="宋体"/>
                <w:b w:val="0"/>
                <w:sz w:val="21"/>
              </w:rPr>
              <w:t>5</w:t>
            </w:r>
          </w:p>
        </w:tc>
      </w:tr>
      <w:tr>
        <w:tc>
          <w:tcPr>
            <w:tcW w:type="dxa" w:w="2878"/>
          </w:tcPr>
          <w:p>
            <w:pPr>
              <w:spacing w:after="20" w:before="20"/>
            </w:pPr>
            <w:r/>
            <w:r>
              <w:rPr>
                <w:rFonts w:ascii="Times New Roman" w:hAnsi="Times New Roman" w:eastAsia="宋体"/>
                <w:b w:val="0"/>
                <w:sz w:val="21"/>
              </w:rPr>
              <w:t>储能科学与工程</w:t>
            </w:r>
          </w:p>
        </w:tc>
        <w:tc>
          <w:tcPr>
            <w:tcW w:type="dxa" w:w="2878"/>
          </w:tcPr>
          <w:p>
            <w:pPr>
              <w:spacing w:after="20" w:before="20"/>
            </w:pPr>
            <w:r/>
            <w:r>
              <w:rPr>
                <w:rFonts w:ascii="Times New Roman" w:hAnsi="Times New Roman" w:eastAsia="宋体"/>
                <w:b w:val="0"/>
                <w:sz w:val="21"/>
              </w:rPr>
              <w:t>30</w:t>
            </w:r>
          </w:p>
        </w:tc>
        <w:tc>
          <w:tcPr>
            <w:tcW w:type="dxa" w:w="2878"/>
          </w:tcPr>
          <w:p>
            <w:pPr>
              <w:spacing w:after="20" w:before="20"/>
            </w:pPr>
            <w:r/>
            <w:r>
              <w:rPr>
                <w:rFonts w:ascii="Times New Roman" w:hAnsi="Times New Roman" w:eastAsia="宋体"/>
                <w:b w:val="0"/>
                <w:sz w:val="21"/>
              </w:rPr>
              <w:t>5</w:t>
            </w:r>
          </w:p>
        </w:tc>
      </w:tr>
      <w:tr>
        <w:tc>
          <w:tcPr>
            <w:tcW w:type="dxa" w:w="2878"/>
          </w:tcPr>
          <w:p>
            <w:pPr>
              <w:spacing w:after="20" w:before="20"/>
            </w:pPr>
            <w:r/>
            <w:r>
              <w:rPr>
                <w:rFonts w:ascii="Times New Roman" w:hAnsi="Times New Roman" w:eastAsia="宋体"/>
                <w:b w:val="0"/>
                <w:sz w:val="21"/>
              </w:rPr>
              <w:t>合计</w:t>
            </w:r>
          </w:p>
        </w:tc>
        <w:tc>
          <w:tcPr>
            <w:tcW w:type="dxa" w:w="2878"/>
          </w:tcPr>
          <w:p>
            <w:pPr>
              <w:spacing w:after="20" w:before="20"/>
            </w:pPr>
            <w:r/>
            <w:r>
              <w:rPr>
                <w:rFonts w:ascii="Times New Roman" w:hAnsi="Times New Roman" w:eastAsia="宋体"/>
                <w:b w:val="0"/>
                <w:sz w:val="21"/>
              </w:rPr>
              <w:t>492</w:t>
            </w:r>
          </w:p>
        </w:tc>
        <w:tc>
          <w:tcPr>
            <w:tcW w:type="dxa" w:w="2878"/>
          </w:tcPr>
          <w:p>
            <w:pPr>
              <w:spacing w:after="20" w:before="20"/>
            </w:pPr>
            <w:r/>
            <w:r>
              <w:rPr>
                <w:rFonts w:ascii="Times New Roman" w:hAnsi="Times New Roman" w:eastAsia="宋体"/>
                <w:b w:val="0"/>
                <w:sz w:val="21"/>
              </w:rPr>
              <w:t>76</w:t>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