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《南京信息工程大学推荐优秀应届本科毕业生免试攻读硕士学位研究生实施办法（修订）》 。</w:t>
      </w:r>
    </w:p>
    <w:p>
      <w:pPr>
        <w:spacing w:after="80" w:lineRule="auto" w:line="360"/>
        <w:ind w:firstLine="482"/>
        <w:jc w:val="both"/>
      </w:pPr>
      <w:r>
        <w:rPr>
          <w:rFonts w:ascii="Times New Roman" w:hAnsi="Times New Roman" w:eastAsia="宋体"/>
          <w:b w:val="0"/>
          <w:sz w:val="24"/>
        </w:rPr>
        <w:t>《南京信息工程大学推荐优秀应届本科毕业生免试攻读硕士学位研究生实施办法（修订）》，文件编号：校发〔2024〕292号，印发日期：2024年12月31日，发布部门：教务处（现代教育技术中心、藕舫学院）。原《南京信息工程大学推荐优秀应届本科毕业生免试攻读硕士学位研究生实施办法》（校发〔2020〕207号）同时作废。</w:t>
      </w:r>
    </w:p>
    <w:p>
      <w:pPr>
        <w:spacing w:after="80" w:lineRule="auto" w:line="360"/>
        <w:ind w:firstLine="482"/>
        <w:jc w:val="both"/>
      </w:pPr>
      <w:r>
        <w:rPr>
          <w:rFonts w:ascii="Times New Roman" w:hAnsi="Times New Roman" w:eastAsia="宋体"/>
          <w:b w:val="0"/>
          <w:sz w:val="24"/>
        </w:rPr>
        <w:t>发布日期：2024年12月31日</w:t>
      </w:r>
    </w:p>
    <w:p>
      <w:pPr>
        <w:spacing w:before="160" w:after="80" w:lineRule="auto" w:line="360"/>
        <w:jc w:val="left"/>
      </w:pPr>
      <w:r>
        <w:rPr>
          <w:rFonts w:ascii="Times New Roman" w:hAnsi="Times New Roman" w:eastAsia="宋体"/>
          <w:b/>
          <w:sz w:val="28"/>
        </w:rPr>
        <w:t>一、申请基本条件</w:t>
      </w:r>
    </w:p>
    <w:p>
      <w:pPr>
        <w:spacing w:after="80" w:lineRule="auto" w:line="360"/>
        <w:ind w:firstLine="482"/>
        <w:jc w:val="both"/>
      </w:pPr>
      <w:r>
        <w:rPr>
          <w:rFonts w:ascii="Times New Roman" w:hAnsi="Times New Roman" w:eastAsia="宋体"/>
          <w:b w:val="0"/>
          <w:sz w:val="24"/>
        </w:rPr>
        <w:t>1. 身份要求：纳入国家普通本科招生计划的应届毕业生（不含专升本、第二学士学位等）。</w:t>
      </w:r>
    </w:p>
    <w:p>
      <w:pPr>
        <w:spacing w:after="80" w:lineRule="auto" w:line="360"/>
        <w:ind w:firstLine="482"/>
        <w:jc w:val="both"/>
      </w:pPr>
      <w:r>
        <w:rPr>
          <w:rFonts w:ascii="Times New Roman" w:hAnsi="Times New Roman" w:eastAsia="宋体"/>
          <w:b w:val="0"/>
          <w:sz w:val="24"/>
        </w:rPr>
        <w:t>2. 品行与纪律：品行优良，无任何违法违纪受处分记录和学术不端行为记录。</w:t>
      </w:r>
    </w:p>
    <w:p>
      <w:pPr>
        <w:spacing w:after="80" w:lineRule="auto" w:line="360"/>
        <w:ind w:firstLine="482"/>
        <w:jc w:val="both"/>
      </w:pPr>
      <w:r>
        <w:rPr>
          <w:rFonts w:ascii="Times New Roman" w:hAnsi="Times New Roman" w:eastAsia="宋体"/>
          <w:b w:val="0"/>
          <w:sz w:val="24"/>
        </w:rPr>
        <w:t>3. 学业成绩：</w:t>
      </w:r>
    </w:p>
    <w:p>
      <w:pPr>
        <w:spacing w:after="80" w:lineRule="auto" w:line="360"/>
        <w:ind w:firstLine="482"/>
        <w:jc w:val="both"/>
      </w:pPr>
      <w:r>
        <w:rPr>
          <w:rFonts w:ascii="Times New Roman" w:hAnsi="Times New Roman" w:eastAsia="宋体"/>
          <w:b w:val="0"/>
          <w:sz w:val="24"/>
        </w:rPr>
        <w:t>（1）必修课一般不得有补考或不及格记录。</w:t>
      </w:r>
    </w:p>
    <w:p>
      <w:pPr>
        <w:spacing w:after="80" w:lineRule="auto" w:line="360"/>
        <w:ind w:firstLine="482"/>
        <w:jc w:val="both"/>
      </w:pPr>
      <w:r>
        <w:rPr>
          <w:rFonts w:ascii="Times New Roman" w:hAnsi="Times New Roman" w:eastAsia="宋体"/>
          <w:b w:val="0"/>
          <w:sz w:val="24"/>
        </w:rPr>
        <w:t>（2）前三年必修课（不含体育）的学分加权平均成绩专业排名需位列年级前40%。</w:t>
      </w:r>
    </w:p>
    <w:p>
      <w:pPr>
        <w:spacing w:after="80" w:lineRule="auto" w:line="360"/>
        <w:ind w:firstLine="482"/>
        <w:jc w:val="both"/>
      </w:pPr>
      <w:r>
        <w:rPr>
          <w:rFonts w:ascii="Times New Roman" w:hAnsi="Times New Roman" w:eastAsia="宋体"/>
          <w:b w:val="0"/>
          <w:sz w:val="24"/>
        </w:rPr>
        <w:t>4. 外语水平：需满足以下条件之一：</w:t>
      </w:r>
    </w:p>
    <w:p>
      <w:pPr>
        <w:spacing w:after="80" w:lineRule="auto" w:line="360"/>
        <w:ind w:firstLine="482"/>
        <w:jc w:val="both"/>
      </w:pPr>
      <w:r>
        <w:rPr>
          <w:rFonts w:ascii="Times New Roman" w:hAnsi="Times New Roman" w:eastAsia="宋体"/>
          <w:b w:val="0"/>
          <w:sz w:val="24"/>
        </w:rPr>
        <w:t>（1）全国大学英语六级考试（CET-6）成绩 425分 及以上。</w:t>
      </w:r>
    </w:p>
    <w:p>
      <w:pPr>
        <w:spacing w:after="80" w:lineRule="auto" w:line="360"/>
        <w:ind w:firstLine="482"/>
        <w:jc w:val="both"/>
      </w:pPr>
      <w:r>
        <w:rPr>
          <w:rFonts w:ascii="Times New Roman" w:hAnsi="Times New Roman" w:eastAsia="宋体"/>
          <w:b w:val="0"/>
          <w:sz w:val="24"/>
        </w:rPr>
        <w:t>（2）全国大学英语四级考试（CET-4）成绩 500分 及以上。</w:t>
      </w:r>
    </w:p>
    <w:p>
      <w:pPr>
        <w:spacing w:after="80" w:lineRule="auto" w:line="360"/>
        <w:ind w:firstLine="482"/>
        <w:jc w:val="both"/>
      </w:pPr>
      <w:r>
        <w:rPr>
          <w:rFonts w:ascii="Times New Roman" w:hAnsi="Times New Roman" w:eastAsia="宋体"/>
          <w:b w:val="0"/>
          <w:sz w:val="24"/>
        </w:rPr>
        <w:t>（3）艺术类专业学生要求稍低，CET-4成绩 425分 及以上即可。</w:t>
      </w:r>
    </w:p>
    <w:p>
      <w:pPr>
        <w:spacing w:before="160" w:after="80" w:lineRule="auto" w:line="360"/>
        <w:jc w:val="left"/>
      </w:pPr>
      <w:r>
        <w:rPr>
          <w:rFonts w:ascii="Times New Roman" w:hAnsi="Times New Roman" w:eastAsia="宋体"/>
          <w:b/>
          <w:sz w:val="28"/>
        </w:rPr>
        <w:t>二、如何获取与使用该文件</w:t>
      </w:r>
    </w:p>
    <w:p>
      <w:pPr>
        <w:spacing w:after="80" w:lineRule="auto" w:line="360"/>
        <w:ind w:firstLine="482"/>
        <w:jc w:val="both"/>
      </w:pPr>
      <w:r>
        <w:rPr>
          <w:rFonts w:ascii="Times New Roman" w:hAnsi="Times New Roman" w:eastAsia="宋体"/>
          <w:b w:val="0"/>
          <w:sz w:val="24"/>
        </w:rPr>
        <w:t>1. 获取原文：该文件的正式通知（校发〔2024〕292号）已在学校信息公告平台发布，可通过校内网访问。部分学院官网（如自动化学院）的推免通知中也提供了该文件的PDF附件供下载。</w:t>
      </w:r>
    </w:p>
    <w:p>
      <w:pPr>
        <w:spacing w:after="80" w:lineRule="auto" w:line="360"/>
        <w:ind w:firstLine="482"/>
        <w:jc w:val="both"/>
      </w:pPr>
      <w:r>
        <w:rPr>
          <w:rFonts w:ascii="Times New Roman" w:hAnsi="Times New Roman" w:eastAsia="宋体"/>
          <w:b w:val="0"/>
          <w:sz w:val="24"/>
        </w:rPr>
        <w:t>2. 关注学院细则：校级文件是总纲，各学院会据此制定更具体的实施细则，其中包含名额分配、时间安排等重要信息，务必密切关注。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