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福州大学化学学院2026年推荐优秀应届本科毕业生免试攻读研究生工作实施细则</w:t>
      </w:r>
    </w:p>
    <w:p>
      <w:pPr>
        <w:spacing w:line="360" w:lineRule="auto" w:before="0" w:after="80"/>
        <w:ind w:firstLine="482"/>
        <w:jc w:val="both"/>
      </w:pPr>
      <w:r>
        <w:rPr>
          <w:rFonts w:ascii="Times New Roman" w:hAnsi="Times New Roman" w:eastAsia="宋体"/>
          <w:b w:val="0"/>
          <w:sz w:val="24"/>
        </w:rPr>
        <w:t>福州大学化学学院2026年推荐优秀应届本科毕业生免试攻读研究生工作实施细则</w:t>
      </w:r>
    </w:p>
    <w:p>
      <w:pPr>
        <w:spacing w:line="360" w:lineRule="auto" w:before="0" w:after="80"/>
        <w:ind w:firstLine="482"/>
        <w:jc w:val="both"/>
      </w:pPr>
      <w:r>
        <w:rPr>
          <w:rFonts w:ascii="Times New Roman" w:hAnsi="Times New Roman" w:eastAsia="宋体"/>
          <w:b w:val="0"/>
          <w:sz w:val="24"/>
        </w:rPr>
        <w:t>根据教育部有关文件精神以及福州大学《关于做好我校2026年推荐优秀应届本科毕业生免试攻读研究生工作的通知》（校招考〔2025〕2号）《福州大学推荐优秀应届本科毕业生免试攻读研究生工作实施办法（2022年修订）》（福大招考〔2022〕5号，以下简称“实施办法”）等文件规定，制订如下实施细则。</w:t>
      </w:r>
    </w:p>
    <w:p>
      <w:pPr>
        <w:spacing w:line="360" w:lineRule="auto" w:before="160" w:after="80"/>
        <w:ind w:firstLine="0"/>
        <w:jc w:val="left"/>
      </w:pPr>
      <w:r>
        <w:rPr>
          <w:rFonts w:ascii="Times New Roman" w:hAnsi="Times New Roman" w:eastAsia="宋体"/>
          <w:b/>
          <w:sz w:val="28"/>
        </w:rPr>
        <w:t>一、组织管理</w:t>
      </w:r>
    </w:p>
    <w:p>
      <w:pPr>
        <w:spacing w:line="360" w:lineRule="auto" w:before="0" w:after="80"/>
        <w:ind w:firstLine="482"/>
        <w:jc w:val="both"/>
      </w:pPr>
      <w:r>
        <w:rPr>
          <w:rFonts w:ascii="Times New Roman" w:hAnsi="Times New Roman" w:eastAsia="宋体"/>
          <w:b w:val="0"/>
          <w:sz w:val="24"/>
        </w:rPr>
        <w:t>学院成立推免生遴选工作领导小组和专家审核小组，名单如下：</w:t>
      </w:r>
    </w:p>
    <w:p>
      <w:pPr>
        <w:spacing w:line="360" w:lineRule="auto" w:before="160" w:after="80"/>
        <w:ind w:firstLine="0"/>
        <w:jc w:val="left"/>
      </w:pPr>
      <w:r>
        <w:rPr>
          <w:rFonts w:ascii="Times New Roman" w:hAnsi="Times New Roman" w:eastAsia="宋体"/>
          <w:b/>
          <w:sz w:val="28"/>
        </w:rPr>
        <w:t>（一）推免生遴选工作领导小组</w:t>
      </w:r>
    </w:p>
    <w:p>
      <w:pPr>
        <w:spacing w:line="360" w:lineRule="auto" w:before="120" w:after="60"/>
        <w:ind w:firstLine="0"/>
        <w:jc w:val="left"/>
      </w:pPr>
      <w:r>
        <w:rPr>
          <w:rFonts w:ascii="Times New Roman" w:hAnsi="Times New Roman" w:eastAsia="宋体"/>
          <w:b/>
          <w:sz w:val="24"/>
        </w:rPr>
        <w:t>组 长：曾忠毅、钟羽武</w:t>
      </w:r>
    </w:p>
    <w:p>
      <w:pPr>
        <w:spacing w:line="360" w:lineRule="auto" w:before="120" w:after="60"/>
        <w:ind w:firstLine="0"/>
        <w:jc w:val="left"/>
      </w:pPr>
      <w:r>
        <w:rPr>
          <w:rFonts w:ascii="Times New Roman" w:hAnsi="Times New Roman" w:eastAsia="宋体"/>
          <w:b/>
          <w:sz w:val="24"/>
        </w:rPr>
        <w:t>副组长：柯江锋、林子俺</w:t>
      </w:r>
    </w:p>
    <w:p>
      <w:pPr>
        <w:spacing w:line="360" w:lineRule="auto" w:before="0" w:after="80"/>
        <w:ind w:firstLine="482"/>
        <w:jc w:val="both"/>
      </w:pPr>
      <w:r>
        <w:rPr>
          <w:rFonts w:ascii="Times New Roman" w:hAnsi="Times New Roman" w:eastAsia="宋体"/>
          <w:b w:val="0"/>
          <w:sz w:val="24"/>
        </w:rPr>
        <w:t>成 员：张金水、谢在来、谭理、叶克印、江龙光、陈珠灵、林翠英</w:t>
      </w:r>
    </w:p>
    <w:p>
      <w:pPr>
        <w:spacing w:line="360" w:lineRule="auto" w:before="160" w:after="80"/>
        <w:ind w:firstLine="0"/>
        <w:jc w:val="left"/>
      </w:pPr>
      <w:r>
        <w:rPr>
          <w:rFonts w:ascii="Times New Roman" w:hAnsi="Times New Roman" w:eastAsia="宋体"/>
          <w:b/>
          <w:sz w:val="28"/>
        </w:rPr>
        <w:t>（二）专家审核小组</w:t>
      </w:r>
    </w:p>
    <w:p>
      <w:pPr>
        <w:spacing w:line="360" w:lineRule="auto" w:before="120" w:after="60"/>
        <w:ind w:firstLine="0"/>
        <w:jc w:val="left"/>
      </w:pPr>
      <w:r>
        <w:rPr>
          <w:rFonts w:ascii="Times New Roman" w:hAnsi="Times New Roman" w:eastAsia="宋体"/>
          <w:b/>
          <w:sz w:val="24"/>
        </w:rPr>
        <w:t>组 长：钟羽武</w:t>
      </w:r>
    </w:p>
    <w:p>
      <w:pPr>
        <w:spacing w:line="360" w:lineRule="auto" w:before="120" w:after="60"/>
        <w:ind w:firstLine="0"/>
        <w:jc w:val="left"/>
      </w:pPr>
      <w:r>
        <w:rPr>
          <w:rFonts w:ascii="Times New Roman" w:hAnsi="Times New Roman" w:eastAsia="宋体"/>
          <w:b/>
          <w:sz w:val="24"/>
        </w:rPr>
        <w:t>副组长：林子俺</w:t>
      </w:r>
    </w:p>
    <w:p>
      <w:pPr>
        <w:spacing w:line="360" w:lineRule="auto" w:before="0" w:after="80"/>
        <w:ind w:firstLine="482"/>
        <w:jc w:val="both"/>
      </w:pPr>
      <w:r>
        <w:rPr>
          <w:rFonts w:ascii="Times New Roman" w:hAnsi="Times New Roman" w:eastAsia="宋体"/>
          <w:b w:val="0"/>
          <w:sz w:val="24"/>
        </w:rPr>
        <w:t>成 员：张金水、谭理、叶克印、江龙光、林翠英、曾庆新、孙燕琼、王文峰、陈宪</w:t>
      </w:r>
    </w:p>
    <w:p>
      <w:pPr>
        <w:spacing w:line="360" w:lineRule="auto" w:before="160" w:after="80"/>
        <w:ind w:firstLine="0"/>
        <w:jc w:val="left"/>
      </w:pPr>
      <w:r>
        <w:rPr>
          <w:rFonts w:ascii="Times New Roman" w:hAnsi="Times New Roman" w:eastAsia="宋体"/>
          <w:b/>
          <w:sz w:val="28"/>
        </w:rPr>
        <w:t>二、推荐条件</w:t>
      </w:r>
    </w:p>
    <w:p>
      <w:pPr>
        <w:spacing w:line="360" w:lineRule="auto" w:before="160" w:after="80"/>
        <w:ind w:firstLine="0"/>
        <w:jc w:val="left"/>
      </w:pPr>
      <w:r>
        <w:rPr>
          <w:rFonts w:ascii="Times New Roman" w:hAnsi="Times New Roman" w:eastAsia="宋体"/>
          <w:b/>
          <w:sz w:val="28"/>
        </w:rPr>
        <w:t>（一）拥护中国共产党的领导、拥护社会主义制度，遵纪守法、身心健康、德智体美劳全面发展。</w:t>
      </w:r>
    </w:p>
    <w:p>
      <w:pPr>
        <w:spacing w:line="360" w:lineRule="auto" w:before="160" w:after="80"/>
        <w:ind w:firstLine="0"/>
        <w:jc w:val="left"/>
      </w:pPr>
      <w:r>
        <w:rPr>
          <w:rFonts w:ascii="Times New Roman" w:hAnsi="Times New Roman" w:eastAsia="宋体"/>
          <w:b/>
          <w:sz w:val="28"/>
        </w:rPr>
        <w:t>（二）无违法违纪受处分记录，无考试作弊和剽窃他人学术成果等行为。</w:t>
      </w:r>
    </w:p>
    <w:p>
      <w:pPr>
        <w:spacing w:line="360" w:lineRule="auto" w:before="0" w:after="80"/>
        <w:ind w:firstLine="482"/>
        <w:jc w:val="both"/>
      </w:pPr>
      <w:r>
        <w:rPr>
          <w:rFonts w:ascii="Times New Roman" w:hAnsi="Times New Roman" w:eastAsia="宋体"/>
          <w:b w:val="0"/>
          <w:sz w:val="24"/>
        </w:rPr>
        <w:t>（三）勤奋学习，刻苦钻研，成绩优秀；学术研究兴趣浓厚，有较强的创新意识、科研创新潜能和专业能力倾向。纳入学业综合成绩计算的课程中不得有应修但未获得学分的课程，且成绩排名和应修课程应当符合以下条件：</w:t>
      </w:r>
    </w:p>
    <w:p>
      <w:pPr>
        <w:spacing w:line="360" w:lineRule="auto" w:before="0" w:after="80"/>
        <w:ind w:firstLine="482"/>
        <w:jc w:val="both"/>
      </w:pPr>
      <w:r>
        <w:rPr>
          <w:rFonts w:ascii="Times New Roman" w:hAnsi="Times New Roman" w:eastAsia="宋体"/>
          <w:b w:val="0"/>
          <w:sz w:val="24"/>
        </w:rPr>
        <w:t>学业综合成绩在本专业同年级排名前（含）35%，不得有补考或重修的课程；学业综合成绩在本专业同年级排名前（含）20％，允许有1门补考或重修的课程；嘉锡化学拔尖班不设学业综合成绩排名要求，允许有2门补考或重修的课程。</w:t>
      </w:r>
    </w:p>
    <w:p>
      <w:pPr>
        <w:spacing w:line="360" w:lineRule="auto" w:before="0" w:after="80"/>
        <w:ind w:firstLine="482"/>
        <w:jc w:val="both"/>
      </w:pPr>
      <w:r>
        <w:rPr>
          <w:rFonts w:ascii="Times New Roman" w:hAnsi="Times New Roman" w:eastAsia="宋体"/>
          <w:b w:val="0"/>
          <w:sz w:val="24"/>
        </w:rPr>
        <w:t>（四）应具有较高的外语应用能力和水平。校内大学英语四级考试成绩要求为：75分（今年学校推免文件规定理工类为75分；化学嘉锡班雅思英语3考试成绩要求为60分）；或全国大学英语六级考试成绩达到教育部考试中心规定的合格分数线；或全国大学英语四级考试成绩达到480分及以上，也可视为英语考试成绩符合推免生要求。</w:t>
      </w:r>
    </w:p>
    <w:p>
      <w:pPr>
        <w:spacing w:line="360" w:lineRule="auto" w:before="160" w:after="80"/>
        <w:ind w:firstLine="0"/>
        <w:jc w:val="left"/>
      </w:pPr>
      <w:r>
        <w:rPr>
          <w:rFonts w:ascii="Times New Roman" w:hAnsi="Times New Roman" w:eastAsia="宋体"/>
          <w:b/>
          <w:sz w:val="28"/>
        </w:rPr>
        <w:t>（五）按照国家文件精神，对于有特殊学术专长或具有突出培养潜质者，可不受上述业务条件限制，不拘一格加以选拔，推荐程序详见第五点。</w:t>
      </w:r>
    </w:p>
    <w:p>
      <w:pPr>
        <w:spacing w:line="360" w:lineRule="auto" w:before="160" w:after="80"/>
        <w:ind w:firstLine="0"/>
        <w:jc w:val="left"/>
      </w:pPr>
      <w:r>
        <w:rPr>
          <w:rFonts w:ascii="Times New Roman" w:hAnsi="Times New Roman" w:eastAsia="宋体"/>
          <w:b/>
          <w:sz w:val="28"/>
        </w:rPr>
        <w:t>三、推荐名额</w:t>
      </w:r>
    </w:p>
    <w:p>
      <w:pPr>
        <w:spacing w:line="360" w:lineRule="auto" w:before="0" w:after="80"/>
        <w:ind w:firstLine="482"/>
        <w:jc w:val="both"/>
      </w:pPr>
      <w:r>
        <w:rPr>
          <w:rFonts w:ascii="Times New Roman" w:hAnsi="Times New Roman" w:eastAsia="宋体"/>
          <w:b w:val="0"/>
          <w:sz w:val="24"/>
        </w:rPr>
        <w:t>（一）学院的推荐比例为推免名额的1:1.2，根据福州大学《关于做好我校2026年推荐优秀应届本科毕业生免试攻读研究生工作的通知》文件规定，各专业推免生名额和推荐人数如下表（向上取整）：</w:t>
      </w:r>
    </w:p>
    <w:p>
      <w:pPr>
        <w:spacing w:line="360" w:lineRule="auto" w:before="120" w:after="60"/>
        <w:ind w:firstLine="0"/>
        <w:jc w:val="left"/>
      </w:pPr>
      <w:r>
        <w:rPr>
          <w:rFonts w:ascii="Times New Roman" w:hAnsi="Times New Roman" w:eastAsia="宋体"/>
          <w:b/>
          <w:sz w:val="24"/>
        </w:rPr>
        <w:t>专业</w:t>
      </w:r>
    </w:p>
    <w:p>
      <w:pPr>
        <w:spacing w:line="360" w:lineRule="auto" w:before="120" w:after="60"/>
        <w:ind w:firstLine="0"/>
        <w:jc w:val="left"/>
      </w:pPr>
      <w:r>
        <w:rPr>
          <w:rFonts w:ascii="Times New Roman" w:hAnsi="Times New Roman" w:eastAsia="宋体"/>
          <w:b/>
          <w:sz w:val="24"/>
        </w:rPr>
        <w:t>推免生名额</w:t>
      </w:r>
    </w:p>
    <w:p>
      <w:pPr>
        <w:spacing w:line="360" w:lineRule="auto" w:before="120" w:after="60"/>
        <w:ind w:firstLine="0"/>
        <w:jc w:val="left"/>
      </w:pPr>
      <w:r>
        <w:rPr>
          <w:rFonts w:ascii="Times New Roman" w:hAnsi="Times New Roman" w:eastAsia="宋体"/>
          <w:b/>
          <w:sz w:val="24"/>
        </w:rPr>
        <w:t>具有申请推免资格学生人数</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化学（嘉锡班）</w:t>
            </w:r>
          </w:p>
        </w:tc>
        <w:tc>
          <w:tcPr>
            <w:tcW w:type="dxa" w:w="4317"/>
          </w:tcPr>
          <w:p>
            <w:pPr>
              <w:jc w:val="center"/>
            </w:pPr>
            <w:r>
              <w:rPr>
                <w:rFonts w:ascii="Times New Roman" w:hAnsi="Times New Roman" w:eastAsia="宋体"/>
                <w:b/>
                <w:sz w:val="21"/>
              </w:rPr>
              <w:t>18（含1个奖励名额）</w:t>
            </w:r>
          </w:p>
        </w:tc>
      </w:tr>
      <w:tr>
        <w:tc>
          <w:tcPr>
            <w:tcW w:type="dxa" w:w="4317"/>
          </w:tcPr>
          <w:p>
            <w:pPr>
              <w:jc w:val="center"/>
            </w:pPr>
            <w:r>
              <w:rPr>
                <w:rFonts w:ascii="Times New Roman" w:hAnsi="Times New Roman" w:eastAsia="宋体"/>
                <w:sz w:val="21"/>
              </w:rPr>
              <w:t>22</w:t>
            </w:r>
          </w:p>
        </w:tc>
        <w:tc>
          <w:tcPr>
            <w:tcW w:type="dxa" w:w="4317"/>
          </w:tcPr>
          <w:p>
            <w:pPr>
              <w:jc w:val="center"/>
            </w:pPr>
            <w:r>
              <w:rPr>
                <w:rFonts w:ascii="Times New Roman" w:hAnsi="Times New Roman" w:eastAsia="宋体"/>
                <w:sz w:val="21"/>
              </w:rPr>
              <w:t>化学</w:t>
            </w:r>
          </w:p>
        </w:tc>
      </w:tr>
      <w:tr>
        <w:tc>
          <w:tcPr>
            <w:tcW w:type="dxa" w:w="4317"/>
          </w:tcPr>
          <w:p>
            <w:pPr>
              <w:jc w:val="center"/>
            </w:pPr>
            <w:r>
              <w:rPr>
                <w:rFonts w:ascii="Times New Roman" w:hAnsi="Times New Roman" w:eastAsia="宋体"/>
                <w:sz w:val="21"/>
              </w:rPr>
              <w:t>17（含1个奖励名额）</w:t>
            </w:r>
          </w:p>
        </w:tc>
        <w:tc>
          <w:tcPr>
            <w:tcW w:type="dxa" w:w="4317"/>
          </w:tcPr>
          <w:p>
            <w:pPr>
              <w:jc w:val="center"/>
            </w:pPr>
            <w:r>
              <w:rPr>
                <w:rFonts w:ascii="Times New Roman" w:hAnsi="Times New Roman" w:eastAsia="宋体"/>
                <w:sz w:val="21"/>
              </w:rPr>
              <w:t>21</w:t>
            </w:r>
          </w:p>
        </w:tc>
      </w:tr>
      <w:tr>
        <w:tc>
          <w:tcPr>
            <w:tcW w:type="dxa" w:w="4317"/>
          </w:tcPr>
          <w:p>
            <w:pPr>
              <w:jc w:val="center"/>
            </w:pPr>
            <w:r>
              <w:rPr>
                <w:rFonts w:ascii="Times New Roman" w:hAnsi="Times New Roman" w:eastAsia="宋体"/>
                <w:sz w:val="21"/>
              </w:rPr>
              <w:t>制药工程</w:t>
            </w:r>
          </w:p>
        </w:tc>
        <w:tc>
          <w:tcPr>
            <w:tcW w:type="dxa" w:w="4317"/>
          </w:tcPr>
          <w:p>
            <w:pPr>
              <w:jc w:val="center"/>
            </w:pPr>
            <w:r>
              <w:rPr>
                <w:rFonts w:ascii="Times New Roman" w:hAnsi="Times New Roman" w:eastAsia="宋体"/>
                <w:sz w:val="21"/>
              </w:rPr>
              <w:t>4</w:t>
            </w:r>
          </w:p>
        </w:tc>
      </w:tr>
      <w:tr>
        <w:tc>
          <w:tcPr>
            <w:tcW w:type="dxa" w:w="4317"/>
          </w:tcPr>
          <w:p>
            <w:pPr>
              <w:jc w:val="center"/>
            </w:pPr>
            <w:r>
              <w:rPr>
                <w:rFonts w:ascii="Times New Roman" w:hAnsi="Times New Roman" w:eastAsia="宋体"/>
                <w:sz w:val="21"/>
              </w:rPr>
              <w:t>5</w:t>
            </w:r>
          </w:p>
        </w:tc>
        <w:tc>
          <w:tcPr>
            <w:tcW w:type="dxa" w:w="4317"/>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