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计算机科学与技术学院2026年推荐优秀应届本科毕业生免试攻读硕士研究生遴选实施细则</w:t>
      </w:r>
    </w:p>
    <w:p>
      <w:pPr>
        <w:spacing w:after="80" w:lineRule="auto" w:line="360"/>
        <w:ind w:firstLine="482"/>
        <w:jc w:val="both"/>
      </w:pPr>
      <w:r>
        <w:rPr>
          <w:rFonts w:ascii="Times New Roman" w:hAnsi="Times New Roman" w:eastAsia="宋体"/>
          <w:b w:val="0"/>
          <w:sz w:val="24"/>
        </w:rPr>
        <w:t>计算机科学与技术学院2026年推荐优秀应届本科毕业生免试攻读硕士研究生遴选实施细则</w:t>
      </w:r>
    </w:p>
    <w:p>
      <w:pPr>
        <w:spacing w:after="80" w:lineRule="auto" w:line="360"/>
        <w:ind w:firstLine="482"/>
        <w:jc w:val="both"/>
      </w:pPr>
      <w:r>
        <w:rPr>
          <w:rFonts w:ascii="Times New Roman" w:hAnsi="Times New Roman" w:eastAsia="宋体"/>
          <w:b w:val="0"/>
          <w:sz w:val="24"/>
        </w:rPr>
        <w:t>发布日期（推定）：2025年9月1日</w:t>
      </w:r>
    </w:p>
    <w:p>
      <w:pPr>
        <w:spacing w:after="80" w:lineRule="auto" w:line="360"/>
        <w:ind w:firstLine="482"/>
        <w:jc w:val="both"/>
      </w:pPr>
      <w:r>
        <w:rPr>
          <w:rFonts w:ascii="Times New Roman" w:hAnsi="Times New Roman" w:eastAsia="宋体"/>
          <w:b w:val="0"/>
          <w:sz w:val="24"/>
        </w:rPr>
        <w:t>依据《沈阳化工大学推荐优秀应届本科毕业生免试攻读硕士学位研究生工作实施办法》，为深入贯彻“立德树人”的教育方针，加大拔尖创新人才培养力度，进一步完善研究生招生录取机制，提高研究生选拔质量，培养拔尖创新人才，结合学院学科特点，制定本实施细则。本实施细则所称“免试”是指应届普通本科毕业生不必经过全国硕士研究生入学统一考试的初试，直接进入复试；所称“推荐”是指按照教育部相关规定对学校优秀应届本科毕业生进行遴选，确认其免初试资格并向招生单位推荐。此项工作以提高遴选质量为核心，坚持公平、公正、公开和德、智、体、美、劳全面衡量，坚持以德为先，把学生思想品德考核作为推免生遴选和录取的首要依据，思想品德考核不合格者不予推荐和录取。</w:t>
      </w:r>
    </w:p>
    <w:p>
      <w:pPr>
        <w:spacing w:before="160" w:after="80" w:lineRule="auto" w:line="360"/>
        <w:jc w:val="left"/>
      </w:pPr>
      <w:r>
        <w:rPr>
          <w:rFonts w:ascii="Times New Roman" w:hAnsi="Times New Roman" w:eastAsia="宋体"/>
          <w:b/>
          <w:sz w:val="28"/>
        </w:rPr>
        <w:t>四、组织管理</w:t>
      </w:r>
    </w:p>
    <w:p>
      <w:pPr>
        <w:spacing w:after="80" w:lineRule="auto" w:line="360"/>
        <w:ind w:firstLine="482"/>
        <w:jc w:val="both"/>
      </w:pPr>
      <w:r>
        <w:rPr>
          <w:rFonts w:ascii="Times New Roman" w:hAnsi="Times New Roman" w:eastAsia="宋体"/>
          <w:b w:val="0"/>
          <w:sz w:val="24"/>
        </w:rPr>
        <w:t>在学校推免生遴选工作领导小组的指导下，学院设立推免生遴选工作小组和监督工作小组，负责本学院的推免生工作的组织与实施。领导小组成员实行回避制度。</w:t>
      </w:r>
    </w:p>
    <w:p>
      <w:pPr>
        <w:spacing w:after="80" w:lineRule="auto" w:line="360"/>
        <w:ind w:firstLine="482"/>
        <w:jc w:val="both"/>
      </w:pPr>
      <w:r>
        <w:rPr>
          <w:rFonts w:ascii="Times New Roman" w:hAnsi="Times New Roman" w:eastAsia="宋体"/>
          <w:b w:val="0"/>
          <w:sz w:val="24"/>
        </w:rPr>
        <w:t>第一条 组织机构</w:t>
      </w:r>
    </w:p>
    <w:p>
      <w:pPr>
        <w:spacing w:after="80" w:lineRule="auto" w:line="360"/>
        <w:ind w:firstLine="482"/>
        <w:jc w:val="both"/>
      </w:pPr>
      <w:r>
        <w:rPr>
          <w:rFonts w:ascii="Times New Roman" w:hAnsi="Times New Roman" w:eastAsia="宋体"/>
          <w:b w:val="0"/>
          <w:sz w:val="24"/>
        </w:rPr>
        <w:t>学院成立推免生遴选工作领导小组，落实集体议事和集体决策制度。</w:t>
      </w:r>
    </w:p>
    <w:p>
      <w:pPr>
        <w:spacing w:after="80" w:lineRule="auto" w:line="360"/>
        <w:ind w:firstLine="482"/>
        <w:jc w:val="both"/>
      </w:pPr>
      <w:r>
        <w:rPr>
          <w:rFonts w:ascii="Times New Roman" w:hAnsi="Times New Roman" w:eastAsia="宋体"/>
          <w:b w:val="0"/>
          <w:sz w:val="24"/>
        </w:rPr>
        <w:t>推免生遴选工作领导小组在推免工作正式开始前，负责根据学校的实施办法，制定和完善本学院的推免生遴选实施细则，组织实施本学院的推免工作，并及时做好信息公开工作。</w:t>
      </w:r>
    </w:p>
    <w:p>
      <w:pPr>
        <w:spacing w:after="80" w:lineRule="auto" w:line="360"/>
        <w:ind w:firstLine="482"/>
        <w:jc w:val="both"/>
      </w:pPr>
      <w:r>
        <w:rPr>
          <w:rFonts w:ascii="Times New Roman" w:hAnsi="Times New Roman" w:eastAsia="宋体"/>
          <w:b w:val="0"/>
          <w:sz w:val="24"/>
        </w:rPr>
        <w:t>第二条 工作原则</w:t>
      </w:r>
    </w:p>
    <w:p>
      <w:pPr>
        <w:spacing w:after="80" w:lineRule="auto" w:line="360"/>
        <w:ind w:firstLine="482"/>
        <w:jc w:val="both"/>
      </w:pPr>
      <w:r>
        <w:rPr>
          <w:rFonts w:ascii="Times New Roman" w:hAnsi="Times New Roman" w:eastAsia="宋体"/>
          <w:b w:val="0"/>
          <w:sz w:val="24"/>
        </w:rPr>
        <w:t>推荐免试研究生工作的每一个环节都要做到公平、公正和公开。学院应制定科学、规范、明确的推荐标准以及相关的操作办法，并提前公布。学院推荐工作小组成员若有直系亲属参加推免生选拔的，应主动回避。对推免生工作有异议的，可在规定的时间内向学校推免生遴选工作领导小组提出书面申诉。</w:t>
      </w:r>
    </w:p>
    <w:p>
      <w:pPr>
        <w:spacing w:before="160" w:after="80" w:lineRule="auto" w:line="360"/>
        <w:jc w:val="left"/>
      </w:pPr>
      <w:r>
        <w:rPr>
          <w:rFonts w:ascii="Times New Roman" w:hAnsi="Times New Roman" w:eastAsia="宋体"/>
          <w:b/>
          <w:sz w:val="28"/>
        </w:rPr>
        <w:t>五、推免生申请条件</w:t>
      </w:r>
    </w:p>
    <w:p>
      <w:pPr>
        <w:spacing w:after="80" w:lineRule="auto" w:line="360"/>
        <w:ind w:firstLine="482"/>
        <w:jc w:val="both"/>
      </w:pPr>
      <w:r>
        <w:rPr>
          <w:rFonts w:ascii="Times New Roman" w:hAnsi="Times New Roman" w:eastAsia="宋体"/>
          <w:b w:val="0"/>
          <w:sz w:val="24"/>
        </w:rPr>
        <w:t>第三条 申请推免的基本条件：</w:t>
      </w:r>
    </w:p>
    <w:p>
      <w:pPr>
        <w:spacing w:after="80" w:lineRule="auto" w:line="360"/>
        <w:ind w:firstLine="482"/>
        <w:jc w:val="both"/>
      </w:pPr>
      <w:r>
        <w:rPr>
          <w:rFonts w:ascii="Times New Roman" w:hAnsi="Times New Roman" w:eastAsia="宋体"/>
          <w:b w:val="0"/>
          <w:sz w:val="24"/>
        </w:rPr>
        <w:t>1. 纳入国家普通本科招生计划录取的应届毕业生（不含中职或专升本、第二学士学位学生）；</w:t>
      </w:r>
    </w:p>
    <w:p>
      <w:pPr>
        <w:spacing w:after="80" w:lineRule="auto" w:line="360"/>
        <w:ind w:firstLine="482"/>
        <w:jc w:val="both"/>
      </w:pPr>
      <w:r>
        <w:rPr>
          <w:rFonts w:ascii="Times New Roman" w:hAnsi="Times New Roman" w:eastAsia="宋体"/>
          <w:b w:val="0"/>
          <w:sz w:val="24"/>
        </w:rPr>
        <w:t>2. 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3. 勤奋学习，刻苦钻研，成绩优秀；学术研究兴趣浓厚，有较强的创新意识、创新能力和专业能力倾向；</w:t>
      </w:r>
    </w:p>
    <w:p>
      <w:pPr>
        <w:spacing w:after="80" w:lineRule="auto" w:line="360"/>
        <w:ind w:firstLine="482"/>
        <w:jc w:val="both"/>
      </w:pPr>
      <w:r>
        <w:rPr>
          <w:rFonts w:ascii="Times New Roman" w:hAnsi="Times New Roman" w:eastAsia="宋体"/>
          <w:b w:val="0"/>
          <w:sz w:val="24"/>
        </w:rPr>
        <w:t>4. 诚实守信，学风端正，无任何考试作弊和剽窃他人学术成果记录；</w:t>
      </w:r>
    </w:p>
    <w:p>
      <w:pPr>
        <w:spacing w:after="80" w:lineRule="auto" w:line="360"/>
        <w:ind w:firstLine="482"/>
        <w:jc w:val="both"/>
      </w:pPr>
      <w:r>
        <w:rPr>
          <w:rFonts w:ascii="Times New Roman" w:hAnsi="Times New Roman" w:eastAsia="宋体"/>
          <w:b w:val="0"/>
          <w:sz w:val="24"/>
        </w:rPr>
        <w:t>5. 品行表现优良，无任何违法违纪受处分记录；</w:t>
      </w:r>
    </w:p>
    <w:p>
      <w:pPr>
        <w:spacing w:after="80" w:lineRule="auto" w:line="360"/>
        <w:ind w:firstLine="482"/>
        <w:jc w:val="both"/>
      </w:pPr>
      <w:r>
        <w:rPr>
          <w:rFonts w:ascii="Times New Roman" w:hAnsi="Times New Roman" w:eastAsia="宋体"/>
          <w:b w:val="0"/>
          <w:sz w:val="24"/>
        </w:rPr>
        <w:t>6. 勤奋学习，刻苦钻研，修完前三学年（四年制）培养方案中必修课程且首修、首考成绩全部合格。</w:t>
      </w:r>
    </w:p>
    <w:p>
      <w:pPr>
        <w:spacing w:after="80" w:lineRule="auto" w:line="360"/>
        <w:ind w:firstLine="482"/>
        <w:jc w:val="both"/>
      </w:pPr>
      <w:r>
        <w:rPr>
          <w:rFonts w:ascii="Times New Roman" w:hAnsi="Times New Roman" w:eastAsia="宋体"/>
          <w:b w:val="0"/>
          <w:sz w:val="24"/>
        </w:rPr>
        <w:t>第四条 在符合第三条推荐基本条件基础上，申请推免资格的学生还应具备以下推荐条件之一：</w:t>
      </w:r>
    </w:p>
    <w:p>
      <w:pPr>
        <w:spacing w:after="80" w:lineRule="auto" w:line="360"/>
        <w:ind w:firstLine="482"/>
        <w:jc w:val="both"/>
      </w:pPr>
      <w:r>
        <w:rPr>
          <w:rFonts w:ascii="Times New Roman" w:hAnsi="Times New Roman" w:eastAsia="宋体"/>
          <w:b w:val="0"/>
          <w:sz w:val="24"/>
        </w:rPr>
        <w:t>1. 前三学年（四年制）学分加权平均分（具体计算方法参见《沈阳化工大学推免生综合测评指导性意见》）在本专业同年级排名在前10%（四舍五入，下同）的学生；</w:t>
      </w:r>
    </w:p>
    <w:p>
      <w:pPr>
        <w:spacing w:after="80" w:lineRule="auto" w:line="360"/>
        <w:ind w:firstLine="482"/>
        <w:jc w:val="both"/>
      </w:pPr>
      <w:r>
        <w:rPr>
          <w:rFonts w:ascii="Times New Roman" w:hAnsi="Times New Roman" w:eastAsia="宋体"/>
          <w:b w:val="0"/>
          <w:sz w:val="24"/>
        </w:rPr>
        <w:t>2. 前三学年（四年制）学分加权平均分在本专业同年级排名在30%的学生，思想品德方面有突出表现、并在校内外有见义勇为等重大杰出道德表现、在社会上引起广泛积极影响者；</w:t>
      </w:r>
    </w:p>
    <w:p>
      <w:pPr>
        <w:spacing w:after="80" w:lineRule="auto" w:line="360"/>
        <w:ind w:firstLine="482"/>
        <w:jc w:val="both"/>
      </w:pPr>
      <w:r>
        <w:rPr>
          <w:rFonts w:ascii="Times New Roman" w:hAnsi="Times New Roman" w:eastAsia="宋体"/>
          <w:b w:val="0"/>
          <w:sz w:val="24"/>
        </w:rPr>
        <w:t>3. 前三学年（四年制）学分加权平均分在本专业同年级排名在10%-30%的学生，拥有特殊学术专长者，须经3名及以上我校本专业教授联名推荐、学院推免生遴选工作领导小组审查同意，可申请学术专长推免生，有关说明材料和教授推荐信须进行公示。</w:t>
      </w:r>
    </w:p>
    <w:p>
      <w:pPr>
        <w:spacing w:after="80" w:lineRule="auto" w:line="360"/>
        <w:ind w:firstLine="482"/>
        <w:jc w:val="both"/>
      </w:pPr>
      <w:r>
        <w:rPr>
          <w:rFonts w:ascii="Times New Roman" w:hAnsi="Times New Roman" w:eastAsia="宋体"/>
          <w:b w:val="0"/>
          <w:sz w:val="24"/>
        </w:rPr>
        <w:t>符合以下条件之一者，方可视为有特殊学术专长，参加由教授联名推荐免试攻读硕士学位研究生申请：</w:t>
      </w:r>
    </w:p>
    <w:p>
      <w:pPr>
        <w:spacing w:after="80" w:lineRule="auto" w:line="360"/>
        <w:ind w:firstLine="482"/>
        <w:jc w:val="both"/>
      </w:pPr>
      <w:r>
        <w:rPr>
          <w:rFonts w:ascii="Times New Roman" w:hAnsi="Times New Roman" w:eastAsia="宋体"/>
          <w:b w:val="0"/>
          <w:sz w:val="24"/>
        </w:rPr>
        <w:t>（1）本科阶段以沈阳化工大学为第一署名单位，以第一作者公开发表被北大中文核心期刊、SCI、EI、SSCI、A&amp;HCI、CSSCI、CSCD或CPCI收录、与学业相关的科研论文1篇以上；</w:t>
      </w:r>
    </w:p>
    <w:p>
      <w:pPr>
        <w:spacing w:after="80" w:lineRule="auto" w:line="360"/>
        <w:ind w:firstLine="482"/>
        <w:jc w:val="both"/>
      </w:pPr>
      <w:r>
        <w:rPr>
          <w:rFonts w:ascii="Times New Roman" w:hAnsi="Times New Roman" w:eastAsia="宋体"/>
          <w:b w:val="0"/>
          <w:sz w:val="24"/>
        </w:rPr>
        <w:t>（2）本科阶段作为第一负责人参加与学业相关的权威科研竞赛全国决赛并获得三等奖及以上奖励。国内权威科研竞赛范围为：中国国际“互联网+”大学生创新创业大赛、“挑战杯”全国大学生课外学术科技作品竞赛、“挑战杯”中国大学生创业计划竞赛。</w:t>
      </w:r>
    </w:p>
    <w:p>
      <w:pPr>
        <w:spacing w:before="160" w:after="80" w:lineRule="auto" w:line="360"/>
        <w:jc w:val="left"/>
      </w:pPr>
      <w:r>
        <w:rPr>
          <w:rFonts w:ascii="Times New Roman" w:hAnsi="Times New Roman" w:eastAsia="宋体"/>
          <w:b/>
          <w:sz w:val="28"/>
        </w:rPr>
        <w:t>六、综合测评</w:t>
      </w:r>
    </w:p>
    <w:p>
      <w:pPr>
        <w:spacing w:after="80" w:lineRule="auto" w:line="360"/>
        <w:ind w:firstLine="482"/>
        <w:jc w:val="both"/>
      </w:pPr>
      <w:r>
        <w:rPr>
          <w:rFonts w:ascii="Times New Roman" w:hAnsi="Times New Roman" w:eastAsia="宋体"/>
          <w:b w:val="0"/>
          <w:sz w:val="24"/>
        </w:rPr>
        <w:t>第五条 本科阶段学业综合成绩作为推免工作最基础的遴选指标，推免生综合测评成绩包括学习成绩、综合能力成绩两部分。其中，学习成绩比例为95%，综合能力成绩比例为5%。其中：</w:t>
      </w:r>
    </w:p>
    <w:p>
      <w:pPr>
        <w:spacing w:after="80" w:lineRule="auto" w:line="360"/>
        <w:ind w:firstLine="482"/>
        <w:jc w:val="both"/>
      </w:pPr>
      <w:r>
        <w:rPr>
          <w:rFonts w:ascii="Times New Roman" w:hAnsi="Times New Roman" w:eastAsia="宋体"/>
          <w:b w:val="0"/>
          <w:sz w:val="24"/>
        </w:rPr>
        <w:t>1. 学习成绩指学生前三学年（四年制）所有必修和实践的学分加权平均分。</w:t>
      </w:r>
    </w:p>
    <w:p>
      <w:pPr>
        <w:spacing w:after="80" w:lineRule="auto" w:line="360"/>
        <w:ind w:firstLine="482"/>
        <w:jc w:val="both"/>
      </w:pPr>
      <w:r>
        <w:rPr>
          <w:rFonts w:ascii="Times New Roman" w:hAnsi="Times New Roman" w:eastAsia="宋体"/>
          <w:b w:val="0"/>
          <w:sz w:val="24"/>
        </w:rPr>
        <w:t>2. 综合能力成绩满分为100分，内容包括学生在德育表现、参军入伍服兵役、参加志愿服务、到国际组织实习、科研成果、实践创新、文体活动、竞赛获奖等方面取得的成绩；要合理设置各遴选指标所占权重及单项指标上限分值，学生在某一方面中有多项加分情况时，原则上只取一项。</w:t>
      </w:r>
    </w:p>
    <w:p>
      <w:pPr>
        <w:spacing w:after="80" w:lineRule="auto" w:line="360"/>
        <w:ind w:firstLine="482"/>
        <w:jc w:val="both"/>
      </w:pPr>
      <w:r>
        <w:rPr>
          <w:rFonts w:ascii="Times New Roman" w:hAnsi="Times New Roman" w:eastAsia="宋体"/>
          <w:b w:val="0"/>
          <w:sz w:val="24"/>
        </w:rPr>
        <w:t>第六条 综合测评成绩计算方法为：</w:t>
      </w:r>
    </w:p>
    <w:p>
      <w:pPr>
        <w:spacing w:before="160" w:after="80" w:lineRule="auto" w:line="360"/>
        <w:jc w:val="left"/>
      </w:pPr>
      <w:r>
        <w:rPr>
          <w:rFonts w:ascii="Times New Roman" w:hAnsi="Times New Roman" w:eastAsia="宋体"/>
          <w:b/>
          <w:sz w:val="28"/>
        </w:rPr>
        <w:t>四、综合测评成绩构成</w:t>
      </w:r>
    </w:p>
    <w:p>
      <w:pPr>
        <w:spacing w:after="80" w:lineRule="auto" w:line="360"/>
        <w:ind w:firstLine="482"/>
        <w:jc w:val="both"/>
      </w:pPr>
      <w:r>
        <w:rPr>
          <w:rFonts w:ascii="Times New Roman" w:hAnsi="Times New Roman" w:eastAsia="宋体"/>
          <w:b w:val="0"/>
          <w:sz w:val="24"/>
        </w:rPr>
        <w:t>推免生综合测评成绩由学分加权平均分、综合能力成绩（满分为100分）构成，计算公式Z=P*95%+S*5%。</w:t>
      </w:r>
    </w:p>
    <w:p>
      <w:pPr>
        <w:spacing w:before="160" w:after="80" w:lineRule="auto" w:line="360"/>
        <w:jc w:val="left"/>
      </w:pPr>
      <w:r>
        <w:rPr>
          <w:rFonts w:ascii="Times New Roman" w:hAnsi="Times New Roman" w:eastAsia="宋体"/>
          <w:b/>
          <w:sz w:val="28"/>
        </w:rPr>
        <w:t>五、学分加权平均分计算</w:t>
      </w:r>
    </w:p>
    <w:p>
      <w:pPr>
        <w:spacing w:after="80" w:lineRule="auto" w:line="360"/>
        <w:ind w:firstLine="482"/>
        <w:jc w:val="both"/>
      </w:pPr>
      <w:r>
        <w:rPr>
          <w:rFonts w:ascii="Times New Roman" w:hAnsi="Times New Roman" w:eastAsia="宋体"/>
          <w:b w:val="0"/>
          <w:sz w:val="24"/>
        </w:rPr>
        <w:t>学分加权平均分的计算公式为：</w:t>
      </w:r>
    </w:p>
    <w:p>
      <w:pPr>
        <w:spacing w:after="80" w:lineRule="auto" w:line="360"/>
        <w:ind w:firstLine="482"/>
        <w:jc w:val="both"/>
      </w:pPr>
      <w:r>
        <w:rPr>
          <w:rFonts w:ascii="Times New Roman" w:hAnsi="Times New Roman" w:eastAsia="宋体"/>
          <w:b w:val="0"/>
          <w:sz w:val="24"/>
        </w:rPr>
        <w:t>其中：表示所修的第门课程的学分；</w:t>
      </w:r>
    </w:p>
    <w:p>
      <w:pPr>
        <w:spacing w:after="80" w:lineRule="auto" w:line="360"/>
        <w:ind w:firstLine="482"/>
        <w:jc w:val="both"/>
      </w:pPr>
      <w:r>
        <w:rPr>
          <w:rFonts w:ascii="Times New Roman" w:hAnsi="Times New Roman" w:eastAsia="宋体"/>
          <w:b w:val="0"/>
          <w:sz w:val="24"/>
        </w:rPr>
        <w:t>表示所修的第门课程的首修、首考成绩，以百分制计。采用五级分制计分和两级分制记分的课程计算时须换算成百分制，换算标准以学校教务管理系统为准。</w:t>
      </w:r>
    </w:p>
    <w:p>
      <w:pPr>
        <w:spacing w:after="80" w:lineRule="auto" w:line="360"/>
        <w:ind w:firstLine="482"/>
        <w:jc w:val="both"/>
      </w:pPr>
      <w:r>
        <w:rPr>
          <w:rFonts w:ascii="Times New Roman" w:hAnsi="Times New Roman" w:eastAsia="宋体"/>
          <w:b w:val="0"/>
          <w:sz w:val="24"/>
        </w:rPr>
        <w:t>（=1，2，3，…，）表示前三学年（四学制）全部必修课程和必修环节（不包含课外环节）。</w:t>
      </w:r>
    </w:p>
    <w:p>
      <w:pPr>
        <w:spacing w:after="80" w:lineRule="auto" w:line="360"/>
        <w:ind w:firstLine="482"/>
        <w:jc w:val="both"/>
      </w:pPr>
      <w:r>
        <w:rPr>
          <w:rFonts w:ascii="Times New Roman" w:hAnsi="Times New Roman" w:eastAsia="宋体"/>
          <w:b w:val="0"/>
          <w:sz w:val="24"/>
        </w:rPr>
        <w:t>关于推免学生学分加权平均分的计算，课程性质应选择必修、实践。</w:t>
      </w:r>
    </w:p>
    <w:p>
      <w:pPr>
        <w:spacing w:before="160" w:after="80" w:lineRule="auto" w:line="360"/>
        <w:jc w:val="left"/>
      </w:pPr>
      <w:r>
        <w:rPr>
          <w:rFonts w:ascii="Times New Roman" w:hAnsi="Times New Roman" w:eastAsia="宋体"/>
          <w:b/>
          <w:sz w:val="28"/>
        </w:rPr>
        <w:t>六、折算方法</w:t>
      </w:r>
    </w:p>
    <w:p>
      <w:pPr>
        <w:spacing w:after="80" w:lineRule="auto" w:line="360"/>
        <w:ind w:firstLine="482"/>
        <w:jc w:val="both"/>
      </w:pPr>
      <w:r>
        <w:rPr>
          <w:rFonts w:ascii="Times New Roman" w:hAnsi="Times New Roman" w:eastAsia="宋体"/>
          <w:b w:val="0"/>
          <w:sz w:val="24"/>
        </w:rPr>
        <w:t>Si为某学生必修课学分加权平均分；N为该专业人数，该专业必修课总学分加权平均分为</w:t>
      </w:r>
    </w:p>
    <w:p>
      <w:pPr>
        <w:spacing w:after="80" w:lineRule="auto" w:line="360"/>
        <w:ind w:firstLine="482"/>
        <w:jc w:val="both"/>
      </w:pPr>
      <w:r>
        <w:rPr>
          <w:rFonts w:ascii="Times New Roman" w:hAnsi="Times New Roman" w:eastAsia="宋体"/>
          <w:b w:val="0"/>
          <w:sz w:val="24"/>
        </w:rPr>
        <w:t>以专业学分加权平均分最高的专业的学分加权平均分为基数，记为Amax，该专业学生的学分加权平均分即为排序成绩，其他专业学生的排序成绩为：</w:t>
      </w:r>
    </w:p>
    <w:p>
      <w:pPr>
        <w:spacing w:after="80" w:lineRule="auto" w:line="360"/>
        <w:ind w:firstLine="482"/>
        <w:jc w:val="both"/>
      </w:pPr>
      <w:r>
        <w:rPr>
          <w:rFonts w:ascii="Times New Roman" w:hAnsi="Times New Roman" w:eastAsia="宋体"/>
          <w:b w:val="0"/>
          <w:sz w:val="24"/>
        </w:rPr>
        <w:t>然后按照排序成绩从高到低进行全院排序，从前向后选定学校分配名额。</w:t>
      </w:r>
    </w:p>
    <w:p>
      <w:pPr>
        <w:spacing w:before="160" w:after="80" w:lineRule="auto" w:line="360"/>
        <w:jc w:val="left"/>
      </w:pPr>
      <w:r>
        <w:rPr>
          <w:rFonts w:ascii="Times New Roman" w:hAnsi="Times New Roman" w:eastAsia="宋体"/>
          <w:b/>
          <w:sz w:val="28"/>
        </w:rPr>
        <w:t>七、综合能力成绩计算</w:t>
      </w:r>
    </w:p>
    <w:p>
      <w:pPr>
        <w:spacing w:after="80" w:lineRule="auto" w:line="360"/>
        <w:ind w:firstLine="482"/>
        <w:jc w:val="both"/>
      </w:pPr>
      <w:r>
        <w:rPr>
          <w:rFonts w:ascii="Times New Roman" w:hAnsi="Times New Roman" w:eastAsia="宋体"/>
          <w:b w:val="0"/>
          <w:sz w:val="24"/>
        </w:rPr>
        <w:t>（一）列入综合能力成绩的大学生创新创业竞赛、荣誉称号、学术论文及授权专利等项目，统计的截止日期为2025年的8月31日。</w:t>
      </w:r>
    </w:p>
    <w:p>
      <w:pPr>
        <w:spacing w:after="80" w:lineRule="auto" w:line="360"/>
        <w:ind w:firstLine="482"/>
        <w:jc w:val="both"/>
      </w:pPr>
      <w:r>
        <w:rPr>
          <w:rFonts w:ascii="Times New Roman" w:hAnsi="Times New Roman" w:eastAsia="宋体"/>
          <w:b w:val="0"/>
          <w:sz w:val="24"/>
        </w:rPr>
        <w:t>（二）综合能力成绩的计算公式为：</w:t>
      </w:r>
    </w:p>
    <w:p>
      <w:pPr>
        <w:spacing w:after="80" w:lineRule="auto" w:line="360"/>
        <w:ind w:firstLine="482"/>
        <w:jc w:val="both"/>
      </w:pPr>
      <w:r>
        <w:rPr>
          <w:rFonts w:ascii="Times New Roman" w:hAnsi="Times New Roman" w:eastAsia="宋体"/>
          <w:b w:val="0"/>
          <w:sz w:val="24"/>
        </w:rPr>
        <w:t>S＝S1+S2+S3+S4+……Sm</w:t>
      </w:r>
    </w:p>
    <w:p>
      <w:pPr>
        <w:spacing w:after="80" w:lineRule="auto" w:line="360"/>
        <w:ind w:firstLine="482"/>
        <w:jc w:val="both"/>
      </w:pPr>
      <w:r>
        <w:rPr>
          <w:rFonts w:ascii="Times New Roman" w:hAnsi="Times New Roman" w:eastAsia="宋体"/>
          <w:b w:val="0"/>
          <w:sz w:val="24"/>
        </w:rPr>
        <w:t>1. 学习期间参加学校认定的大学生学科（设计）竞赛获奖：</w:t>
      </w:r>
    </w:p>
    <w:tbl>
      <w:tblPr>
        <w:tblStyle w:val="TableGrid"/>
        <w:tblW w:type="auto" w:w="0"/>
        <w:jc w:val="center"/>
        <w:tblLook w:firstColumn="1" w:firstRow="1" w:lastColumn="0" w:lastRow="0" w:noHBand="0" w:noVBand="1" w:val="04A0"/>
      </w:tblPr>
      <w:tblGrid>
        <w:gridCol w:w="454"/>
        <w:gridCol w:w="454"/>
        <w:gridCol w:w="454"/>
        <w:gridCol w:w="454"/>
        <w:gridCol w:w="454"/>
        <w:gridCol w:w="454"/>
        <w:gridCol w:w="454"/>
        <w:gridCol w:w="454"/>
        <w:gridCol w:w="454"/>
        <w:gridCol w:w="454"/>
        <w:gridCol w:w="454"/>
        <w:gridCol w:w="454"/>
        <w:gridCol w:w="454"/>
        <w:gridCol w:w="454"/>
        <w:gridCol w:w="454"/>
        <w:gridCol w:w="454"/>
        <w:gridCol w:w="454"/>
        <w:gridCol w:w="454"/>
        <w:gridCol w:w="454"/>
      </w:tblGrid>
      <w:tr>
        <w:tc>
          <w:tcPr>
            <w:tcW w:type="dxa" w:w="454"/>
          </w:tcPr>
          <w:p>
            <w:pPr>
              <w:spacing w:after="20" w:before="20"/>
            </w:pPr>
            <w:r/>
            <w:r>
              <w:rPr>
                <w:rFonts w:ascii="Times New Roman" w:hAnsi="Times New Roman" w:eastAsia="宋体"/>
                <w:b/>
                <w:sz w:val="21"/>
              </w:rPr>
              <w:t>级别</w:t>
            </w:r>
          </w:p>
        </w:tc>
        <w:tc>
          <w:tcPr>
            <w:tcW w:type="dxa" w:w="454"/>
          </w:tcPr>
          <w:p>
            <w:pPr>
              <w:spacing w:after="20" w:before="20"/>
            </w:pPr>
            <w:r/>
            <w:r>
              <w:rPr>
                <w:rFonts w:ascii="Times New Roman" w:hAnsi="Times New Roman" w:eastAsia="宋体"/>
                <w:b/>
                <w:sz w:val="21"/>
              </w:rPr>
              <w:t>国家级</w:t>
            </w:r>
          </w:p>
        </w:tc>
        <w:tc>
          <w:tcPr>
            <w:tcW w:type="dxa" w:w="454"/>
          </w:tcPr>
          <w:p>
            <w:pPr>
              <w:spacing w:after="20" w:before="20"/>
            </w:pPr>
            <w:r/>
            <w:r>
              <w:rPr>
                <w:rFonts w:ascii="Times New Roman" w:hAnsi="Times New Roman" w:eastAsia="宋体"/>
                <w:b/>
                <w:sz w:val="21"/>
              </w:rPr>
              <w:t>国家级</w:t>
            </w:r>
          </w:p>
        </w:tc>
        <w:tc>
          <w:tcPr>
            <w:tcW w:type="dxa" w:w="454"/>
          </w:tcPr>
          <w:p>
            <w:pPr>
              <w:spacing w:after="20" w:before="20"/>
            </w:pPr>
            <w:r/>
            <w:r>
              <w:rPr>
                <w:rFonts w:ascii="Times New Roman" w:hAnsi="Times New Roman" w:eastAsia="宋体"/>
                <w:b/>
                <w:sz w:val="21"/>
              </w:rPr>
              <w:t>国家级</w:t>
            </w:r>
          </w:p>
        </w:tc>
        <w:tc>
          <w:tcPr>
            <w:tcW w:type="dxa" w:w="454"/>
          </w:tcPr>
          <w:p>
            <w:pPr>
              <w:spacing w:after="20" w:before="20"/>
            </w:pPr>
            <w:r/>
            <w:r>
              <w:rPr>
                <w:rFonts w:ascii="Times New Roman" w:hAnsi="Times New Roman" w:eastAsia="宋体"/>
                <w:b/>
                <w:sz w:val="21"/>
              </w:rPr>
              <w:t>省级</w:t>
            </w:r>
          </w:p>
        </w:tc>
        <w:tc>
          <w:tcPr>
            <w:tcW w:type="dxa" w:w="454"/>
          </w:tcPr>
          <w:p>
            <w:pPr>
              <w:spacing w:after="20" w:before="20"/>
            </w:pPr>
            <w:r/>
            <w:r>
              <w:rPr>
                <w:rFonts w:ascii="Times New Roman" w:hAnsi="Times New Roman" w:eastAsia="宋体"/>
                <w:b/>
                <w:sz w:val="21"/>
              </w:rPr>
              <w:t>省级</w:t>
            </w:r>
          </w:p>
        </w:tc>
        <w:tc>
          <w:tcPr>
            <w:tcW w:type="dxa" w:w="454"/>
          </w:tcPr>
          <w:p>
            <w:pPr>
              <w:spacing w:after="20" w:before="20"/>
            </w:pPr>
            <w:r/>
            <w:r>
              <w:rPr>
                <w:rFonts w:ascii="Times New Roman" w:hAnsi="Times New Roman" w:eastAsia="宋体"/>
                <w:b/>
                <w:sz w:val="21"/>
              </w:rPr>
              <w:t>省级</w:t>
            </w:r>
          </w:p>
        </w:tc>
        <w:tc>
          <w:tcPr>
            <w:tcW w:type="dxa" w:w="454"/>
          </w:tcPr>
          <w:p>
            <w:pPr>
              <w:spacing w:after="20" w:before="20"/>
            </w:pPr>
            <w:r/>
            <w:r>
              <w:rPr>
                <w:rFonts w:ascii="Times New Roman" w:hAnsi="Times New Roman" w:eastAsia="宋体"/>
                <w:b/>
                <w:sz w:val="21"/>
              </w:rPr>
            </w:r>
          </w:p>
        </w:tc>
        <w:tc>
          <w:tcPr>
            <w:tcW w:type="dxa" w:w="454"/>
          </w:tcPr>
          <w:p>
            <w:pPr>
              <w:spacing w:after="20" w:before="20"/>
            </w:pPr>
            <w:r/>
            <w:r>
              <w:rPr>
                <w:rFonts w:ascii="Times New Roman" w:hAnsi="Times New Roman" w:eastAsia="宋体"/>
                <w:b/>
                <w:sz w:val="21"/>
              </w:rPr>
            </w:r>
          </w:p>
        </w:tc>
        <w:tc>
          <w:tcPr>
            <w:tcW w:type="dxa" w:w="454"/>
          </w:tcPr>
          <w:p>
            <w:pPr>
              <w:spacing w:after="20" w:before="20"/>
            </w:pPr>
            <w:r/>
            <w:r>
              <w:rPr>
                <w:rFonts w:ascii="Times New Roman" w:hAnsi="Times New Roman" w:eastAsia="宋体"/>
                <w:b/>
                <w:sz w:val="21"/>
              </w:rPr>
            </w:r>
          </w:p>
        </w:tc>
        <w:tc>
          <w:tcPr>
            <w:tcW w:type="dxa" w:w="454"/>
          </w:tcPr>
          <w:p>
            <w:pPr>
              <w:spacing w:after="20" w:before="20"/>
            </w:pPr>
            <w:r/>
            <w:r>
              <w:rPr>
                <w:rFonts w:ascii="Times New Roman" w:hAnsi="Times New Roman" w:eastAsia="宋体"/>
                <w:b/>
                <w:sz w:val="21"/>
              </w:rPr>
            </w:r>
          </w:p>
        </w:tc>
        <w:tc>
          <w:tcPr>
            <w:tcW w:type="dxa" w:w="454"/>
          </w:tcPr>
          <w:p>
            <w:pPr>
              <w:spacing w:after="20" w:before="20"/>
            </w:pPr>
            <w:r/>
            <w:r>
              <w:rPr>
                <w:rFonts w:ascii="Times New Roman" w:hAnsi="Times New Roman" w:eastAsia="宋体"/>
                <w:b/>
                <w:sz w:val="21"/>
              </w:rPr>
            </w:r>
          </w:p>
        </w:tc>
        <w:tc>
          <w:tcPr>
            <w:tcW w:type="dxa" w:w="454"/>
          </w:tcPr>
          <w:p>
            <w:pPr>
              <w:spacing w:after="20" w:before="20"/>
            </w:pPr>
            <w:r/>
            <w:r>
              <w:rPr>
                <w:rFonts w:ascii="Times New Roman" w:hAnsi="Times New Roman" w:eastAsia="宋体"/>
                <w:b/>
                <w:sz w:val="21"/>
              </w:rPr>
            </w:r>
          </w:p>
        </w:tc>
        <w:tc>
          <w:tcPr>
            <w:tcW w:type="dxa" w:w="454"/>
          </w:tcPr>
          <w:p>
            <w:pPr>
              <w:spacing w:after="20" w:before="20"/>
            </w:pPr>
            <w:r/>
            <w:r>
              <w:rPr>
                <w:rFonts w:ascii="Times New Roman" w:hAnsi="Times New Roman" w:eastAsia="宋体"/>
                <w:b/>
                <w:sz w:val="21"/>
              </w:rPr>
            </w:r>
          </w:p>
        </w:tc>
        <w:tc>
          <w:tcPr>
            <w:tcW w:type="dxa" w:w="454"/>
          </w:tcPr>
          <w:p>
            <w:pPr>
              <w:spacing w:after="20" w:before="20"/>
            </w:pPr>
            <w:r/>
            <w:r>
              <w:rPr>
                <w:rFonts w:ascii="Times New Roman" w:hAnsi="Times New Roman" w:eastAsia="宋体"/>
                <w:b/>
                <w:sz w:val="21"/>
              </w:rPr>
            </w:r>
          </w:p>
        </w:tc>
        <w:tc>
          <w:tcPr>
            <w:tcW w:type="dxa" w:w="454"/>
          </w:tcPr>
          <w:p>
            <w:pPr>
              <w:spacing w:after="20" w:before="20"/>
            </w:pPr>
            <w:r/>
            <w:r>
              <w:rPr>
                <w:rFonts w:ascii="Times New Roman" w:hAnsi="Times New Roman" w:eastAsia="宋体"/>
                <w:b/>
                <w:sz w:val="21"/>
              </w:rPr>
            </w:r>
          </w:p>
        </w:tc>
        <w:tc>
          <w:tcPr>
            <w:tcW w:type="dxa" w:w="454"/>
          </w:tcPr>
          <w:p>
            <w:pPr>
              <w:spacing w:after="20" w:before="20"/>
            </w:pPr>
            <w:r/>
            <w:r>
              <w:rPr>
                <w:rFonts w:ascii="Times New Roman" w:hAnsi="Times New Roman" w:eastAsia="宋体"/>
                <w:b/>
                <w:sz w:val="21"/>
              </w:rPr>
            </w:r>
          </w:p>
        </w:tc>
        <w:tc>
          <w:tcPr>
            <w:tcW w:type="dxa" w:w="454"/>
          </w:tcPr>
          <w:p>
            <w:pPr>
              <w:spacing w:after="20" w:before="20"/>
            </w:pPr>
            <w:r/>
            <w:r>
              <w:rPr>
                <w:rFonts w:ascii="Times New Roman" w:hAnsi="Times New Roman" w:eastAsia="宋体"/>
                <w:b/>
                <w:sz w:val="21"/>
              </w:rPr>
            </w:r>
          </w:p>
        </w:tc>
        <w:tc>
          <w:tcPr>
            <w:tcW w:type="dxa" w:w="454"/>
          </w:tcPr>
          <w:p>
            <w:pPr>
              <w:spacing w:after="20" w:before="20"/>
            </w:pPr>
            <w:r/>
            <w:r>
              <w:rPr>
                <w:rFonts w:ascii="Times New Roman" w:hAnsi="Times New Roman" w:eastAsia="宋体"/>
                <w:b/>
                <w:sz w:val="21"/>
              </w:rPr>
            </w:r>
          </w:p>
        </w:tc>
      </w:tr>
      <w:tr>
        <w:tc>
          <w:tcPr>
            <w:tcW w:type="dxa" w:w="454"/>
          </w:tcPr>
          <w:p>
            <w:pPr>
              <w:spacing w:after="20" w:before="20"/>
            </w:pPr>
            <w:r/>
            <w:r>
              <w:rPr>
                <w:rFonts w:ascii="Times New Roman" w:hAnsi="Times New Roman" w:eastAsia="宋体"/>
                <w:b w:val="0"/>
                <w:sz w:val="21"/>
              </w:rPr>
              <w:t>获奖等级</w:t>
            </w:r>
          </w:p>
        </w:tc>
        <w:tc>
          <w:tcPr>
            <w:tcW w:type="dxa" w:w="454"/>
          </w:tcPr>
          <w:p>
            <w:pPr>
              <w:spacing w:after="20" w:before="20"/>
            </w:pPr>
            <w:r/>
            <w:r>
              <w:rPr>
                <w:rFonts w:ascii="Times New Roman" w:hAnsi="Times New Roman" w:eastAsia="宋体"/>
                <w:b w:val="0"/>
                <w:sz w:val="21"/>
              </w:rPr>
              <w:t>一等奖</w:t>
            </w:r>
          </w:p>
        </w:tc>
        <w:tc>
          <w:tcPr>
            <w:tcW w:type="dxa" w:w="454"/>
          </w:tcPr>
          <w:p>
            <w:pPr>
              <w:spacing w:after="20" w:before="20"/>
            </w:pPr>
            <w:r/>
            <w:r>
              <w:rPr>
                <w:rFonts w:ascii="Times New Roman" w:hAnsi="Times New Roman" w:eastAsia="宋体"/>
                <w:b w:val="0"/>
                <w:sz w:val="21"/>
              </w:rPr>
              <w:t>二等奖</w:t>
            </w:r>
          </w:p>
        </w:tc>
        <w:tc>
          <w:tcPr>
            <w:tcW w:type="dxa" w:w="454"/>
          </w:tcPr>
          <w:p>
            <w:pPr>
              <w:spacing w:after="20" w:before="20"/>
            </w:pPr>
            <w:r/>
            <w:r>
              <w:rPr>
                <w:rFonts w:ascii="Times New Roman" w:hAnsi="Times New Roman" w:eastAsia="宋体"/>
                <w:b w:val="0"/>
                <w:sz w:val="21"/>
              </w:rPr>
              <w:t>三等奖</w:t>
            </w:r>
          </w:p>
        </w:tc>
        <w:tc>
          <w:tcPr>
            <w:tcW w:type="dxa" w:w="454"/>
          </w:tcPr>
          <w:p>
            <w:pPr>
              <w:spacing w:after="20" w:before="20"/>
            </w:pPr>
            <w:r/>
            <w:r>
              <w:rPr>
                <w:rFonts w:ascii="Times New Roman" w:hAnsi="Times New Roman" w:eastAsia="宋体"/>
                <w:b w:val="0"/>
                <w:sz w:val="21"/>
              </w:rPr>
              <w:t>一等奖</w:t>
            </w:r>
          </w:p>
        </w:tc>
        <w:tc>
          <w:tcPr>
            <w:tcW w:type="dxa" w:w="454"/>
          </w:tcPr>
          <w:p>
            <w:pPr>
              <w:spacing w:after="20" w:before="20"/>
            </w:pPr>
            <w:r/>
            <w:r>
              <w:rPr>
                <w:rFonts w:ascii="Times New Roman" w:hAnsi="Times New Roman" w:eastAsia="宋体"/>
                <w:b w:val="0"/>
                <w:sz w:val="21"/>
              </w:rPr>
              <w:t>二等奖</w:t>
            </w:r>
          </w:p>
        </w:tc>
        <w:tc>
          <w:tcPr>
            <w:tcW w:type="dxa" w:w="454"/>
          </w:tcPr>
          <w:p>
            <w:pPr>
              <w:spacing w:after="20" w:before="20"/>
            </w:pPr>
            <w:r/>
            <w:r>
              <w:rPr>
                <w:rFonts w:ascii="Times New Roman" w:hAnsi="Times New Roman" w:eastAsia="宋体"/>
                <w:b w:val="0"/>
                <w:sz w:val="21"/>
              </w:rPr>
              <w:t>三等奖</w:t>
            </w:r>
          </w:p>
        </w:tc>
        <w:tc>
          <w:tcPr>
            <w:tcW w:type="dxa" w:w="454"/>
          </w:tcPr>
          <w:p>
            <w:pPr>
              <w:spacing w:after="20" w:before="20"/>
            </w:pPr>
            <w:r/>
            <w:r>
              <w:rPr>
                <w:rFonts w:ascii="Times New Roman" w:hAnsi="Times New Roman" w:eastAsia="宋体"/>
                <w:b w:val="0"/>
                <w:sz w:val="21"/>
              </w:rPr>
            </w:r>
          </w:p>
        </w:tc>
        <w:tc>
          <w:tcPr>
            <w:tcW w:type="dxa" w:w="454"/>
          </w:tcPr>
          <w:p>
            <w:pPr>
              <w:spacing w:after="20" w:before="20"/>
            </w:pPr>
            <w:r/>
            <w:r>
              <w:rPr>
                <w:rFonts w:ascii="Times New Roman" w:hAnsi="Times New Roman" w:eastAsia="宋体"/>
                <w:b w:val="0"/>
                <w:sz w:val="21"/>
              </w:rPr>
            </w:r>
          </w:p>
        </w:tc>
        <w:tc>
          <w:tcPr>
            <w:tcW w:type="dxa" w:w="454"/>
          </w:tcPr>
          <w:p>
            <w:pPr>
              <w:spacing w:after="20" w:before="20"/>
            </w:pPr>
            <w:r/>
            <w:r>
              <w:rPr>
                <w:rFonts w:ascii="Times New Roman" w:hAnsi="Times New Roman" w:eastAsia="宋体"/>
                <w:b w:val="0"/>
                <w:sz w:val="21"/>
              </w:rPr>
            </w:r>
          </w:p>
        </w:tc>
        <w:tc>
          <w:tcPr>
            <w:tcW w:type="dxa" w:w="454"/>
          </w:tcPr>
          <w:p>
            <w:pPr>
              <w:spacing w:after="20" w:before="20"/>
            </w:pPr>
            <w:r/>
            <w:r>
              <w:rPr>
                <w:rFonts w:ascii="Times New Roman" w:hAnsi="Times New Roman" w:eastAsia="宋体"/>
                <w:b w:val="0"/>
                <w:sz w:val="21"/>
              </w:rPr>
            </w:r>
          </w:p>
        </w:tc>
        <w:tc>
          <w:tcPr>
            <w:tcW w:type="dxa" w:w="454"/>
          </w:tcPr>
          <w:p>
            <w:pPr>
              <w:spacing w:after="20" w:before="20"/>
            </w:pPr>
            <w:r/>
            <w:r>
              <w:rPr>
                <w:rFonts w:ascii="Times New Roman" w:hAnsi="Times New Roman" w:eastAsia="宋体"/>
                <w:b w:val="0"/>
                <w:sz w:val="21"/>
              </w:rPr>
            </w:r>
          </w:p>
        </w:tc>
        <w:tc>
          <w:tcPr>
            <w:tcW w:type="dxa" w:w="454"/>
          </w:tcPr>
          <w:p>
            <w:pPr>
              <w:spacing w:after="20" w:before="20"/>
            </w:pPr>
            <w:r/>
            <w:r>
              <w:rPr>
                <w:rFonts w:ascii="Times New Roman" w:hAnsi="Times New Roman" w:eastAsia="宋体"/>
                <w:b w:val="0"/>
                <w:sz w:val="21"/>
              </w:rPr>
            </w:r>
          </w:p>
        </w:tc>
        <w:tc>
          <w:tcPr>
            <w:tcW w:type="dxa" w:w="454"/>
          </w:tcPr>
          <w:p>
            <w:pPr>
              <w:spacing w:after="20" w:before="20"/>
            </w:pPr>
            <w:r/>
            <w:r>
              <w:rPr>
                <w:rFonts w:ascii="Times New Roman" w:hAnsi="Times New Roman" w:eastAsia="宋体"/>
                <w:b w:val="0"/>
                <w:sz w:val="21"/>
              </w:rPr>
            </w:r>
          </w:p>
        </w:tc>
        <w:tc>
          <w:tcPr>
            <w:tcW w:type="dxa" w:w="454"/>
          </w:tcPr>
          <w:p>
            <w:pPr>
              <w:spacing w:after="20" w:before="20"/>
            </w:pPr>
            <w:r/>
            <w:r>
              <w:rPr>
                <w:rFonts w:ascii="Times New Roman" w:hAnsi="Times New Roman" w:eastAsia="宋体"/>
                <w:b w:val="0"/>
                <w:sz w:val="21"/>
              </w:rPr>
            </w:r>
          </w:p>
        </w:tc>
        <w:tc>
          <w:tcPr>
            <w:tcW w:type="dxa" w:w="454"/>
          </w:tcPr>
          <w:p>
            <w:pPr>
              <w:spacing w:after="20" w:before="20"/>
            </w:pPr>
            <w:r/>
            <w:r>
              <w:rPr>
                <w:rFonts w:ascii="Times New Roman" w:hAnsi="Times New Roman" w:eastAsia="宋体"/>
                <w:b w:val="0"/>
                <w:sz w:val="21"/>
              </w:rPr>
            </w:r>
          </w:p>
        </w:tc>
        <w:tc>
          <w:tcPr>
            <w:tcW w:type="dxa" w:w="454"/>
          </w:tcPr>
          <w:p>
            <w:pPr>
              <w:spacing w:after="20" w:before="20"/>
            </w:pPr>
            <w:r/>
            <w:r>
              <w:rPr>
                <w:rFonts w:ascii="Times New Roman" w:hAnsi="Times New Roman" w:eastAsia="宋体"/>
                <w:b w:val="0"/>
                <w:sz w:val="21"/>
              </w:rPr>
            </w:r>
          </w:p>
        </w:tc>
        <w:tc>
          <w:tcPr>
            <w:tcW w:type="dxa" w:w="454"/>
          </w:tcPr>
          <w:p>
            <w:pPr>
              <w:spacing w:after="20" w:before="20"/>
            </w:pPr>
            <w:r/>
            <w:r>
              <w:rPr>
                <w:rFonts w:ascii="Times New Roman" w:hAnsi="Times New Roman" w:eastAsia="宋体"/>
                <w:b w:val="0"/>
                <w:sz w:val="21"/>
              </w:rPr>
            </w:r>
          </w:p>
        </w:tc>
        <w:tc>
          <w:tcPr>
            <w:tcW w:type="dxa" w:w="454"/>
          </w:tcPr>
          <w:p>
            <w:pPr>
              <w:spacing w:after="20" w:before="20"/>
            </w:pPr>
            <w:r/>
            <w:r>
              <w:rPr>
                <w:rFonts w:ascii="Times New Roman" w:hAnsi="Times New Roman" w:eastAsia="宋体"/>
                <w:b w:val="0"/>
                <w:sz w:val="21"/>
              </w:rPr>
            </w:r>
          </w:p>
        </w:tc>
      </w:tr>
      <w:tr>
        <w:tc>
          <w:tcPr>
            <w:tcW w:type="dxa" w:w="454"/>
          </w:tcPr>
          <w:p>
            <w:pPr>
              <w:spacing w:after="20" w:before="20"/>
            </w:pPr>
            <w:r/>
            <w:r>
              <w:rPr>
                <w:rFonts w:ascii="Times New Roman" w:hAnsi="Times New Roman" w:eastAsia="宋体"/>
                <w:b w:val="0"/>
                <w:sz w:val="21"/>
              </w:rPr>
              <w:t>排名</w:t>
            </w:r>
          </w:p>
        </w:tc>
        <w:tc>
          <w:tcPr>
            <w:tcW w:type="dxa" w:w="454"/>
          </w:tcPr>
          <w:p>
            <w:pPr>
              <w:spacing w:after="20" w:before="20"/>
            </w:pPr>
            <w:r/>
            <w:r>
              <w:rPr>
                <w:rFonts w:ascii="Times New Roman" w:hAnsi="Times New Roman" w:eastAsia="宋体"/>
                <w:b w:val="0"/>
                <w:sz w:val="21"/>
              </w:rPr>
              <w:t>1</w:t>
            </w:r>
          </w:p>
        </w:tc>
        <w:tc>
          <w:tcPr>
            <w:tcW w:type="dxa" w:w="454"/>
          </w:tcPr>
          <w:p>
            <w:pPr>
              <w:spacing w:after="20" w:before="20"/>
            </w:pPr>
            <w:r/>
            <w:r>
              <w:rPr>
                <w:rFonts w:ascii="Times New Roman" w:hAnsi="Times New Roman" w:eastAsia="宋体"/>
                <w:b w:val="0"/>
                <w:sz w:val="21"/>
              </w:rPr>
              <w:t>2</w:t>
            </w:r>
          </w:p>
        </w:tc>
        <w:tc>
          <w:tcPr>
            <w:tcW w:type="dxa" w:w="454"/>
          </w:tcPr>
          <w:p>
            <w:pPr>
              <w:spacing w:after="20" w:before="20"/>
            </w:pPr>
            <w:r/>
            <w:r>
              <w:rPr>
                <w:rFonts w:ascii="Times New Roman" w:hAnsi="Times New Roman" w:eastAsia="宋体"/>
                <w:b w:val="0"/>
                <w:sz w:val="21"/>
              </w:rPr>
              <w:t>3</w:t>
            </w:r>
          </w:p>
        </w:tc>
        <w:tc>
          <w:tcPr>
            <w:tcW w:type="dxa" w:w="454"/>
          </w:tcPr>
          <w:p>
            <w:pPr>
              <w:spacing w:after="20" w:before="20"/>
            </w:pPr>
            <w:r/>
            <w:r>
              <w:rPr>
                <w:rFonts w:ascii="Times New Roman" w:hAnsi="Times New Roman" w:eastAsia="宋体"/>
                <w:b w:val="0"/>
                <w:sz w:val="21"/>
              </w:rPr>
              <w:t>1</w:t>
            </w:r>
          </w:p>
        </w:tc>
        <w:tc>
          <w:tcPr>
            <w:tcW w:type="dxa" w:w="454"/>
          </w:tcPr>
          <w:p>
            <w:pPr>
              <w:spacing w:after="20" w:before="20"/>
            </w:pPr>
            <w:r/>
            <w:r>
              <w:rPr>
                <w:rFonts w:ascii="Times New Roman" w:hAnsi="Times New Roman" w:eastAsia="宋体"/>
                <w:b w:val="0"/>
                <w:sz w:val="21"/>
              </w:rPr>
              <w:t>2</w:t>
            </w:r>
          </w:p>
        </w:tc>
        <w:tc>
          <w:tcPr>
            <w:tcW w:type="dxa" w:w="454"/>
          </w:tcPr>
          <w:p>
            <w:pPr>
              <w:spacing w:after="20" w:before="20"/>
            </w:pPr>
            <w:r/>
            <w:r>
              <w:rPr>
                <w:rFonts w:ascii="Times New Roman" w:hAnsi="Times New Roman" w:eastAsia="宋体"/>
                <w:b w:val="0"/>
                <w:sz w:val="21"/>
              </w:rPr>
              <w:t>3</w:t>
            </w:r>
          </w:p>
        </w:tc>
        <w:tc>
          <w:tcPr>
            <w:tcW w:type="dxa" w:w="454"/>
          </w:tcPr>
          <w:p>
            <w:pPr>
              <w:spacing w:after="20" w:before="20"/>
            </w:pPr>
            <w:r/>
            <w:r>
              <w:rPr>
                <w:rFonts w:ascii="Times New Roman" w:hAnsi="Times New Roman" w:eastAsia="宋体"/>
                <w:b w:val="0"/>
                <w:sz w:val="21"/>
              </w:rPr>
              <w:t>1</w:t>
            </w:r>
          </w:p>
        </w:tc>
        <w:tc>
          <w:tcPr>
            <w:tcW w:type="dxa" w:w="454"/>
          </w:tcPr>
          <w:p>
            <w:pPr>
              <w:spacing w:after="20" w:before="20"/>
            </w:pPr>
            <w:r/>
            <w:r>
              <w:rPr>
                <w:rFonts w:ascii="Times New Roman" w:hAnsi="Times New Roman" w:eastAsia="宋体"/>
                <w:b w:val="0"/>
                <w:sz w:val="21"/>
              </w:rPr>
              <w:t>2</w:t>
            </w:r>
          </w:p>
        </w:tc>
        <w:tc>
          <w:tcPr>
            <w:tcW w:type="dxa" w:w="454"/>
          </w:tcPr>
          <w:p>
            <w:pPr>
              <w:spacing w:after="20" w:before="20"/>
            </w:pPr>
            <w:r/>
            <w:r>
              <w:rPr>
                <w:rFonts w:ascii="Times New Roman" w:hAnsi="Times New Roman" w:eastAsia="宋体"/>
                <w:b w:val="0"/>
                <w:sz w:val="21"/>
              </w:rPr>
              <w:t>3</w:t>
            </w:r>
          </w:p>
        </w:tc>
        <w:tc>
          <w:tcPr>
            <w:tcW w:type="dxa" w:w="454"/>
          </w:tcPr>
          <w:p>
            <w:pPr>
              <w:spacing w:after="20" w:before="20"/>
            </w:pPr>
            <w:r/>
            <w:r>
              <w:rPr>
                <w:rFonts w:ascii="Times New Roman" w:hAnsi="Times New Roman" w:eastAsia="宋体"/>
                <w:b w:val="0"/>
                <w:sz w:val="21"/>
              </w:rPr>
              <w:t>1</w:t>
            </w:r>
          </w:p>
        </w:tc>
        <w:tc>
          <w:tcPr>
            <w:tcW w:type="dxa" w:w="454"/>
          </w:tcPr>
          <w:p>
            <w:pPr>
              <w:spacing w:after="20" w:before="20"/>
            </w:pPr>
            <w:r/>
            <w:r>
              <w:rPr>
                <w:rFonts w:ascii="Times New Roman" w:hAnsi="Times New Roman" w:eastAsia="宋体"/>
                <w:b w:val="0"/>
                <w:sz w:val="21"/>
              </w:rPr>
              <w:t>2</w:t>
            </w:r>
          </w:p>
        </w:tc>
        <w:tc>
          <w:tcPr>
            <w:tcW w:type="dxa" w:w="454"/>
          </w:tcPr>
          <w:p>
            <w:pPr>
              <w:spacing w:after="20" w:before="20"/>
            </w:pPr>
            <w:r/>
            <w:r>
              <w:rPr>
                <w:rFonts w:ascii="Times New Roman" w:hAnsi="Times New Roman" w:eastAsia="宋体"/>
                <w:b w:val="0"/>
                <w:sz w:val="21"/>
              </w:rPr>
              <w:t>3</w:t>
            </w:r>
          </w:p>
        </w:tc>
        <w:tc>
          <w:tcPr>
            <w:tcW w:type="dxa" w:w="454"/>
          </w:tcPr>
          <w:p>
            <w:pPr>
              <w:spacing w:after="20" w:before="20"/>
            </w:pPr>
            <w:r/>
            <w:r>
              <w:rPr>
                <w:rFonts w:ascii="Times New Roman" w:hAnsi="Times New Roman" w:eastAsia="宋体"/>
                <w:b w:val="0"/>
                <w:sz w:val="21"/>
              </w:rPr>
              <w:t>1</w:t>
            </w:r>
          </w:p>
        </w:tc>
        <w:tc>
          <w:tcPr>
            <w:tcW w:type="dxa" w:w="454"/>
          </w:tcPr>
          <w:p>
            <w:pPr>
              <w:spacing w:after="20" w:before="20"/>
            </w:pPr>
            <w:r/>
            <w:r>
              <w:rPr>
                <w:rFonts w:ascii="Times New Roman" w:hAnsi="Times New Roman" w:eastAsia="宋体"/>
                <w:b w:val="0"/>
                <w:sz w:val="21"/>
              </w:rPr>
              <w:t>2</w:t>
            </w:r>
          </w:p>
        </w:tc>
        <w:tc>
          <w:tcPr>
            <w:tcW w:type="dxa" w:w="454"/>
          </w:tcPr>
          <w:p>
            <w:pPr>
              <w:spacing w:after="20" w:before="20"/>
            </w:pPr>
            <w:r/>
            <w:r>
              <w:rPr>
                <w:rFonts w:ascii="Times New Roman" w:hAnsi="Times New Roman" w:eastAsia="宋体"/>
                <w:b w:val="0"/>
                <w:sz w:val="21"/>
              </w:rPr>
              <w:t>3</w:t>
            </w:r>
          </w:p>
        </w:tc>
        <w:tc>
          <w:tcPr>
            <w:tcW w:type="dxa" w:w="454"/>
          </w:tcPr>
          <w:p>
            <w:pPr>
              <w:spacing w:after="20" w:before="20"/>
            </w:pPr>
            <w:r/>
            <w:r>
              <w:rPr>
                <w:rFonts w:ascii="Times New Roman" w:hAnsi="Times New Roman" w:eastAsia="宋体"/>
                <w:b w:val="0"/>
                <w:sz w:val="21"/>
              </w:rPr>
              <w:t>1</w:t>
            </w:r>
          </w:p>
        </w:tc>
        <w:tc>
          <w:tcPr>
            <w:tcW w:type="dxa" w:w="454"/>
          </w:tcPr>
          <w:p>
            <w:pPr>
              <w:spacing w:after="20" w:before="20"/>
            </w:pPr>
            <w:r/>
            <w:r>
              <w:rPr>
                <w:rFonts w:ascii="Times New Roman" w:hAnsi="Times New Roman" w:eastAsia="宋体"/>
                <w:b w:val="0"/>
                <w:sz w:val="21"/>
              </w:rPr>
              <w:t>2</w:t>
            </w:r>
          </w:p>
        </w:tc>
        <w:tc>
          <w:tcPr>
            <w:tcW w:type="dxa" w:w="454"/>
          </w:tcPr>
          <w:p>
            <w:pPr>
              <w:spacing w:after="20" w:before="20"/>
            </w:pPr>
            <w:r/>
            <w:r>
              <w:rPr>
                <w:rFonts w:ascii="Times New Roman" w:hAnsi="Times New Roman" w:eastAsia="宋体"/>
                <w:b w:val="0"/>
                <w:sz w:val="21"/>
              </w:rPr>
              <w:t>3</w:t>
            </w:r>
          </w:p>
        </w:tc>
      </w:tr>
      <w:tr>
        <w:tc>
          <w:tcPr>
            <w:tcW w:type="dxa" w:w="454"/>
          </w:tcPr>
          <w:p>
            <w:pPr>
              <w:spacing w:after="20" w:before="20"/>
            </w:pPr>
            <w:r/>
            <w:r>
              <w:rPr>
                <w:rFonts w:ascii="Times New Roman" w:hAnsi="Times New Roman" w:eastAsia="宋体"/>
                <w:b w:val="0"/>
                <w:sz w:val="21"/>
              </w:rPr>
              <w:t>奖励分</w:t>
            </w:r>
          </w:p>
        </w:tc>
        <w:tc>
          <w:tcPr>
            <w:tcW w:type="dxa" w:w="454"/>
          </w:tcPr>
          <w:p>
            <w:pPr>
              <w:spacing w:after="20" w:before="20"/>
            </w:pPr>
            <w:r/>
            <w:r>
              <w:rPr>
                <w:rFonts w:ascii="Times New Roman" w:hAnsi="Times New Roman" w:eastAsia="宋体"/>
                <w:b w:val="0"/>
                <w:sz w:val="21"/>
              </w:rPr>
              <w:t>10</w:t>
            </w:r>
          </w:p>
        </w:tc>
        <w:tc>
          <w:tcPr>
            <w:tcW w:type="dxa" w:w="454"/>
          </w:tcPr>
          <w:p>
            <w:pPr>
              <w:spacing w:after="20" w:before="20"/>
            </w:pPr>
            <w:r/>
            <w:r>
              <w:rPr>
                <w:rFonts w:ascii="Times New Roman" w:hAnsi="Times New Roman" w:eastAsia="宋体"/>
                <w:b w:val="0"/>
                <w:sz w:val="21"/>
              </w:rPr>
              <w:t>9</w:t>
            </w:r>
          </w:p>
        </w:tc>
        <w:tc>
          <w:tcPr>
            <w:tcW w:type="dxa" w:w="454"/>
          </w:tcPr>
          <w:p>
            <w:pPr>
              <w:spacing w:after="20" w:before="20"/>
            </w:pPr>
            <w:r/>
            <w:r>
              <w:rPr>
                <w:rFonts w:ascii="Times New Roman" w:hAnsi="Times New Roman" w:eastAsia="宋体"/>
                <w:b w:val="0"/>
                <w:sz w:val="21"/>
              </w:rPr>
              <w:t>8</w:t>
            </w:r>
          </w:p>
        </w:tc>
        <w:tc>
          <w:tcPr>
            <w:tcW w:type="dxa" w:w="454"/>
          </w:tcPr>
          <w:p>
            <w:pPr>
              <w:spacing w:after="20" w:before="20"/>
            </w:pPr>
            <w:r/>
            <w:r>
              <w:rPr>
                <w:rFonts w:ascii="Times New Roman" w:hAnsi="Times New Roman" w:eastAsia="宋体"/>
                <w:b w:val="0"/>
                <w:sz w:val="21"/>
              </w:rPr>
              <w:t>8</w:t>
            </w:r>
          </w:p>
        </w:tc>
        <w:tc>
          <w:tcPr>
            <w:tcW w:type="dxa" w:w="454"/>
          </w:tcPr>
          <w:p>
            <w:pPr>
              <w:spacing w:after="20" w:before="20"/>
            </w:pPr>
            <w:r/>
            <w:r>
              <w:rPr>
                <w:rFonts w:ascii="Times New Roman" w:hAnsi="Times New Roman" w:eastAsia="宋体"/>
                <w:b w:val="0"/>
                <w:sz w:val="21"/>
              </w:rPr>
              <w:t>7</w:t>
            </w:r>
          </w:p>
        </w:tc>
        <w:tc>
          <w:tcPr>
            <w:tcW w:type="dxa" w:w="454"/>
          </w:tcPr>
          <w:p>
            <w:pPr>
              <w:spacing w:after="20" w:before="20"/>
            </w:pPr>
            <w:r/>
            <w:r>
              <w:rPr>
                <w:rFonts w:ascii="Times New Roman" w:hAnsi="Times New Roman" w:eastAsia="宋体"/>
                <w:b w:val="0"/>
                <w:sz w:val="21"/>
              </w:rPr>
              <w:t>6</w:t>
            </w:r>
          </w:p>
        </w:tc>
        <w:tc>
          <w:tcPr>
            <w:tcW w:type="dxa" w:w="454"/>
          </w:tcPr>
          <w:p>
            <w:pPr>
              <w:spacing w:after="20" w:before="20"/>
            </w:pPr>
            <w:r/>
            <w:r>
              <w:rPr>
                <w:rFonts w:ascii="Times New Roman" w:hAnsi="Times New Roman" w:eastAsia="宋体"/>
                <w:b w:val="0"/>
                <w:sz w:val="21"/>
              </w:rPr>
              <w:t>6</w:t>
            </w:r>
          </w:p>
        </w:tc>
        <w:tc>
          <w:tcPr>
            <w:tcW w:type="dxa" w:w="454"/>
          </w:tcPr>
          <w:p>
            <w:pPr>
              <w:spacing w:after="20" w:before="20"/>
            </w:pPr>
            <w:r/>
            <w:r>
              <w:rPr>
                <w:rFonts w:ascii="Times New Roman" w:hAnsi="Times New Roman" w:eastAsia="宋体"/>
                <w:b w:val="0"/>
                <w:sz w:val="21"/>
              </w:rPr>
              <w:t>5</w:t>
            </w:r>
          </w:p>
        </w:tc>
        <w:tc>
          <w:tcPr>
            <w:tcW w:type="dxa" w:w="454"/>
          </w:tcPr>
          <w:p>
            <w:pPr>
              <w:spacing w:after="20" w:before="20"/>
            </w:pPr>
            <w:r/>
            <w:r>
              <w:rPr>
                <w:rFonts w:ascii="Times New Roman" w:hAnsi="Times New Roman" w:eastAsia="宋体"/>
                <w:b w:val="0"/>
                <w:sz w:val="21"/>
              </w:rPr>
              <w:t>4</w:t>
            </w:r>
          </w:p>
        </w:tc>
        <w:tc>
          <w:tcPr>
            <w:tcW w:type="dxa" w:w="454"/>
          </w:tcPr>
          <w:p>
            <w:pPr>
              <w:spacing w:after="20" w:before="20"/>
            </w:pPr>
            <w:r/>
            <w:r>
              <w:rPr>
                <w:rFonts w:ascii="Times New Roman" w:hAnsi="Times New Roman" w:eastAsia="宋体"/>
                <w:b w:val="0"/>
                <w:sz w:val="21"/>
              </w:rPr>
              <w:t>7</w:t>
            </w:r>
          </w:p>
        </w:tc>
        <w:tc>
          <w:tcPr>
            <w:tcW w:type="dxa" w:w="454"/>
          </w:tcPr>
          <w:p>
            <w:pPr>
              <w:spacing w:after="20" w:before="20"/>
            </w:pPr>
            <w:r/>
            <w:r>
              <w:rPr>
                <w:rFonts w:ascii="Times New Roman" w:hAnsi="Times New Roman" w:eastAsia="宋体"/>
                <w:b w:val="0"/>
                <w:sz w:val="21"/>
              </w:rPr>
              <w:t>6</w:t>
            </w:r>
          </w:p>
        </w:tc>
        <w:tc>
          <w:tcPr>
            <w:tcW w:type="dxa" w:w="454"/>
          </w:tcPr>
          <w:p>
            <w:pPr>
              <w:spacing w:after="20" w:before="20"/>
            </w:pPr>
            <w:r/>
            <w:r>
              <w:rPr>
                <w:rFonts w:ascii="Times New Roman" w:hAnsi="Times New Roman" w:eastAsia="宋体"/>
                <w:b w:val="0"/>
                <w:sz w:val="21"/>
              </w:rPr>
              <w:t>5</w:t>
            </w:r>
          </w:p>
        </w:tc>
        <w:tc>
          <w:tcPr>
            <w:tcW w:type="dxa" w:w="454"/>
          </w:tcPr>
          <w:p>
            <w:pPr>
              <w:spacing w:after="20" w:before="20"/>
            </w:pPr>
            <w:r/>
            <w:r>
              <w:rPr>
                <w:rFonts w:ascii="Times New Roman" w:hAnsi="Times New Roman" w:eastAsia="宋体"/>
                <w:b w:val="0"/>
                <w:sz w:val="21"/>
              </w:rPr>
              <w:t>5</w:t>
            </w:r>
          </w:p>
        </w:tc>
        <w:tc>
          <w:tcPr>
            <w:tcW w:type="dxa" w:w="454"/>
          </w:tcPr>
          <w:p>
            <w:pPr>
              <w:spacing w:after="20" w:before="20"/>
            </w:pPr>
            <w:r/>
            <w:r>
              <w:rPr>
                <w:rFonts w:ascii="Times New Roman" w:hAnsi="Times New Roman" w:eastAsia="宋体"/>
                <w:b w:val="0"/>
                <w:sz w:val="21"/>
              </w:rPr>
              <w:t>4</w:t>
            </w:r>
          </w:p>
        </w:tc>
        <w:tc>
          <w:tcPr>
            <w:tcW w:type="dxa" w:w="454"/>
          </w:tcPr>
          <w:p>
            <w:pPr>
              <w:spacing w:after="20" w:before="20"/>
            </w:pPr>
            <w:r/>
            <w:r>
              <w:rPr>
                <w:rFonts w:ascii="Times New Roman" w:hAnsi="Times New Roman" w:eastAsia="宋体"/>
                <w:b w:val="0"/>
                <w:sz w:val="21"/>
              </w:rPr>
              <w:t>3</w:t>
            </w:r>
          </w:p>
        </w:tc>
        <w:tc>
          <w:tcPr>
            <w:tcW w:type="dxa" w:w="454"/>
          </w:tcPr>
          <w:p>
            <w:pPr>
              <w:spacing w:after="20" w:before="20"/>
            </w:pPr>
            <w:r/>
            <w:r>
              <w:rPr>
                <w:rFonts w:ascii="Times New Roman" w:hAnsi="Times New Roman" w:eastAsia="宋体"/>
                <w:b w:val="0"/>
                <w:sz w:val="21"/>
              </w:rPr>
              <w:t>3</w:t>
            </w:r>
          </w:p>
        </w:tc>
        <w:tc>
          <w:tcPr>
            <w:tcW w:type="dxa" w:w="454"/>
          </w:tcPr>
          <w:p>
            <w:pPr>
              <w:spacing w:after="20" w:before="20"/>
            </w:pPr>
            <w:r/>
            <w:r>
              <w:rPr>
                <w:rFonts w:ascii="Times New Roman" w:hAnsi="Times New Roman" w:eastAsia="宋体"/>
                <w:b w:val="0"/>
                <w:sz w:val="21"/>
              </w:rPr>
              <w:t>2</w:t>
            </w:r>
          </w:p>
        </w:tc>
        <w:tc>
          <w:tcPr>
            <w:tcW w:type="dxa" w:w="454"/>
          </w:tcPr>
          <w:p>
            <w:pPr>
              <w:spacing w:after="20" w:before="20"/>
            </w:pPr>
            <w:r/>
            <w:r>
              <w:rPr>
                <w:rFonts w:ascii="Times New Roman" w:hAnsi="Times New Roman" w:eastAsia="宋体"/>
                <w:b w:val="0"/>
                <w:sz w:val="21"/>
              </w:rPr>
              <w:t>1</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