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南华大学松霖建筑与设计艺术学院2026年推荐优秀应届本科毕业生免试攻读硕士学位研究生工作实施办法</w:t>
      </w:r>
    </w:p>
    <w:p>
      <w:pPr>
        <w:spacing w:after="80" w:lineRule="auto" w:line="360"/>
        <w:ind w:firstLine="482"/>
        <w:jc w:val="both"/>
      </w:pPr>
      <w:r>
        <w:rPr>
          <w:rFonts w:ascii="Times New Roman" w:hAnsi="Times New Roman" w:eastAsia="宋体"/>
          <w:b w:val="0"/>
          <w:sz w:val="24"/>
        </w:rPr>
        <w:t>南华大学松霖建筑与设计艺术学院2026年推荐优秀应届本科毕业生免试攻读硕士学位研究生工作实施办法</w:t>
      </w:r>
    </w:p>
    <w:p>
      <w:pPr>
        <w:spacing w:after="80" w:lineRule="auto" w:line="360"/>
        <w:ind w:firstLine="482"/>
        <w:jc w:val="both"/>
      </w:pPr>
      <w:r>
        <w:rPr>
          <w:rFonts w:ascii="Times New Roman" w:hAnsi="Times New Roman" w:eastAsia="宋体"/>
          <w:b w:val="0"/>
          <w:sz w:val="24"/>
        </w:rPr>
        <w:t>发布日期（推定）：2024年9月4日</w:t>
      </w:r>
    </w:p>
    <w:p>
      <w:pPr>
        <w:spacing w:after="80" w:lineRule="auto" w:line="360"/>
        <w:ind w:firstLine="482"/>
        <w:jc w:val="both"/>
      </w:pPr>
      <w:r>
        <w:rPr>
          <w:rFonts w:ascii="Times New Roman" w:hAnsi="Times New Roman" w:eastAsia="宋体"/>
          <w:b w:val="0"/>
          <w:sz w:val="24"/>
        </w:rPr>
        <w:t>为更好地选拔成绩优秀、创新能力强及综合素质水平高的优秀本科应届毕业生免试就读硕士研究生，根据《南华大学推荐优秀应届本科毕业生免试攻读硕士学位研究生工作实施办法》（南华政发〔2014〕43号）文件精神，经学院2026年推荐优秀应届本科毕业生免试攻读硕士学位研究生工作小组成员讨论，为使工作更加规范化、制度化，结合我院实际情况，现制定松霖建筑与设计艺术学院推荐2026年优秀应届本科毕业生免试攻读硕士学位研究生工作实施办法。</w:t>
      </w:r>
    </w:p>
    <w:p>
      <w:pPr>
        <w:spacing w:before="160" w:after="80" w:lineRule="auto" w:line="360"/>
        <w:jc w:val="left"/>
      </w:pPr>
      <w:r>
        <w:rPr>
          <w:rFonts w:ascii="Times New Roman" w:hAnsi="Times New Roman" w:eastAsia="宋体"/>
          <w:b/>
          <w:sz w:val="28"/>
        </w:rPr>
        <w:t>一、推免生遴选条件</w:t>
      </w:r>
    </w:p>
    <w:p>
      <w:pPr>
        <w:spacing w:after="80" w:lineRule="auto" w:line="360"/>
        <w:ind w:firstLine="482"/>
        <w:jc w:val="both"/>
      </w:pPr>
      <w:r>
        <w:rPr>
          <w:rFonts w:ascii="Times New Roman" w:hAnsi="Times New Roman" w:eastAsia="宋体"/>
          <w:b w:val="0"/>
          <w:sz w:val="24"/>
        </w:rPr>
        <w:t>（一）推免生资格申请基本条件</w:t>
      </w:r>
    </w:p>
    <w:p>
      <w:pPr>
        <w:spacing w:after="80" w:lineRule="auto" w:line="360"/>
        <w:ind w:firstLine="482"/>
        <w:jc w:val="both"/>
      </w:pPr>
      <w:r>
        <w:rPr>
          <w:rFonts w:ascii="Times New Roman" w:hAnsi="Times New Roman" w:eastAsia="宋体"/>
          <w:b w:val="0"/>
          <w:sz w:val="24"/>
        </w:rPr>
        <w:t>1. 应届全日制本科毕业（不含专升本、独立学院等）。</w:t>
      </w:r>
    </w:p>
    <w:p>
      <w:pPr>
        <w:spacing w:after="80" w:lineRule="auto" w:line="360"/>
        <w:ind w:firstLine="482"/>
        <w:jc w:val="both"/>
      </w:pPr>
      <w:r>
        <w:rPr>
          <w:rFonts w:ascii="Times New Roman" w:hAnsi="Times New Roman" w:eastAsia="宋体"/>
          <w:b w:val="0"/>
          <w:sz w:val="24"/>
        </w:rPr>
        <w:t>2. 品行优良。遵守高等学校学生行为准则，履行高等学校学生义务；无不良诚信记录（含学术不端、其它不诚信问题），无违法违纪受处分记录。</w:t>
      </w:r>
    </w:p>
    <w:p>
      <w:pPr>
        <w:spacing w:after="80" w:lineRule="auto" w:line="360"/>
        <w:ind w:firstLine="482"/>
        <w:jc w:val="both"/>
      </w:pPr>
      <w:r>
        <w:rPr>
          <w:rFonts w:ascii="Times New Roman" w:hAnsi="Times New Roman" w:eastAsia="宋体"/>
          <w:b w:val="0"/>
          <w:sz w:val="24"/>
        </w:rPr>
        <w:t>3. 学业条件：</w:t>
      </w:r>
    </w:p>
    <w:p>
      <w:pPr>
        <w:spacing w:after="80" w:lineRule="auto" w:line="360"/>
        <w:ind w:firstLine="482"/>
        <w:jc w:val="both"/>
      </w:pPr>
      <w:r>
        <w:rPr>
          <w:rFonts w:ascii="Times New Roman" w:hAnsi="Times New Roman" w:eastAsia="宋体"/>
          <w:b w:val="0"/>
          <w:sz w:val="24"/>
        </w:rPr>
        <w:t>①学生应修的专业人才培养方案中的必修和限选课程必须全部合格，且学科基础必修课程和专业必修课程首考及格，不得有补考、重修情况。</w:t>
      </w:r>
    </w:p>
    <w:p>
      <w:pPr>
        <w:spacing w:after="80" w:lineRule="auto" w:line="360"/>
        <w:ind w:firstLine="482"/>
        <w:jc w:val="both"/>
      </w:pPr>
      <w:r>
        <w:rPr>
          <w:rFonts w:ascii="Times New Roman" w:hAnsi="Times New Roman" w:eastAsia="宋体"/>
          <w:b w:val="0"/>
          <w:sz w:val="24"/>
        </w:rPr>
        <w:t>②全国大学英语四级考试成绩合格（&gt;=425分），外语类专业学生专业外语统测考试必须合格。</w:t>
      </w:r>
    </w:p>
    <w:p>
      <w:pPr>
        <w:spacing w:after="80" w:lineRule="auto" w:line="360"/>
        <w:ind w:firstLine="482"/>
        <w:jc w:val="both"/>
      </w:pPr>
      <w:r>
        <w:rPr>
          <w:rFonts w:ascii="Times New Roman" w:hAnsi="Times New Roman" w:eastAsia="宋体"/>
          <w:b w:val="0"/>
          <w:sz w:val="24"/>
        </w:rPr>
        <w:t>4. 身心健康，达到大学体育合格标准，心理健康测试合格。</w:t>
      </w:r>
    </w:p>
    <w:p>
      <w:pPr>
        <w:spacing w:after="80" w:lineRule="auto" w:line="360"/>
        <w:ind w:firstLine="482"/>
        <w:jc w:val="both"/>
      </w:pPr>
      <w:r>
        <w:rPr>
          <w:rFonts w:ascii="Times New Roman" w:hAnsi="Times New Roman" w:eastAsia="宋体"/>
          <w:b w:val="0"/>
          <w:sz w:val="24"/>
        </w:rPr>
        <w:t>（二）推免生入围资格审查</w:t>
      </w:r>
    </w:p>
    <w:p>
      <w:pPr>
        <w:spacing w:after="80" w:lineRule="auto" w:line="360"/>
        <w:ind w:firstLine="482"/>
        <w:jc w:val="both"/>
      </w:pPr>
      <w:r>
        <w:rPr>
          <w:rFonts w:ascii="Times New Roman" w:hAnsi="Times New Roman" w:eastAsia="宋体"/>
          <w:b w:val="0"/>
          <w:sz w:val="24"/>
        </w:rPr>
        <w:t>推免生推荐资格学院根据教务部相关文件精神及学生所在专业的学分绩点排名提供入围学生名单进行遴选，同时做好参与推免学生的思想稳定工作。推免学生入围办法如下：</w:t>
      </w:r>
    </w:p>
    <w:p>
      <w:pPr>
        <w:spacing w:after="80" w:lineRule="auto" w:line="360"/>
        <w:ind w:firstLine="482"/>
        <w:jc w:val="both"/>
      </w:pPr>
      <w:r>
        <w:rPr>
          <w:rFonts w:ascii="Times New Roman" w:hAnsi="Times New Roman" w:eastAsia="宋体"/>
          <w:b w:val="0"/>
          <w:sz w:val="24"/>
        </w:rPr>
        <w:t>1. 第1至6学期（四年制）或第1至8学期（五年制）按各专业《本科人才培养方案》课程设置及要求，应修必修和限选课程的平均学分绩点排名。专业总人数在100人以下的按专业总人数15%的名额推荐入围学生，超过100人的专业超过部分按8%的名额推荐入围学生。同一专业下不同方向按不同专业的情况处理。</w:t>
      </w:r>
    </w:p>
    <w:p>
      <w:pPr>
        <w:spacing w:after="80" w:lineRule="auto" w:line="360"/>
        <w:ind w:firstLine="482"/>
        <w:jc w:val="both"/>
      </w:pPr>
      <w:r>
        <w:rPr>
          <w:rFonts w:ascii="Times New Roman" w:hAnsi="Times New Roman" w:eastAsia="宋体"/>
          <w:b w:val="0"/>
          <w:sz w:val="24"/>
        </w:rPr>
        <w:t>2. 在读期间以南华大学在校生的身份取得与专业相关的以下成绩者：获得发明专利授权；公开发表高水平学术论文；科技创新活动中获得省级及以上奖；获得学科竞赛国家级一、二等奖，省级一等奖者；获得国家级相关荣誉称号，符合上述条件之一的优秀学生可适当放宽学业要求限制条件，但学业成绩必须严格控制在专业总人数排名前30%的推荐范围内。需由学生本人申请，经学院推免生工作小组审核认可，方可参与推免遴选，并占学院的推免生总计划名额。</w:t>
      </w:r>
    </w:p>
    <w:p>
      <w:pPr>
        <w:spacing w:before="160" w:after="80" w:lineRule="auto" w:line="360"/>
        <w:jc w:val="left"/>
      </w:pPr>
      <w:r>
        <w:rPr>
          <w:rFonts w:ascii="Times New Roman" w:hAnsi="Times New Roman" w:eastAsia="宋体"/>
          <w:b/>
          <w:sz w:val="28"/>
        </w:rPr>
        <w:t>二、综合素质测评要素</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综合素质测评分基本要素</w:t>
            </w:r>
          </w:p>
        </w:tc>
        <w:tc>
          <w:tcPr>
            <w:tcW w:type="dxa" w:w="2158"/>
          </w:tcPr>
          <w:p>
            <w:pPr>
              <w:spacing w:after="20" w:before="20"/>
            </w:pPr>
            <w:r/>
            <w:r>
              <w:rPr>
                <w:rFonts w:ascii="Times New Roman" w:hAnsi="Times New Roman" w:eastAsia="宋体"/>
                <w:b/>
                <w:sz w:val="21"/>
              </w:rPr>
              <w:t>权重</w:t>
            </w:r>
          </w:p>
        </w:tc>
        <w:tc>
          <w:tcPr>
            <w:tcW w:type="dxa" w:w="2158"/>
          </w:tcPr>
          <w:p>
            <w:pPr>
              <w:spacing w:after="20" w:before="20"/>
            </w:pPr>
            <w:r/>
            <w:r>
              <w:rPr>
                <w:rFonts w:ascii="Times New Roman" w:hAnsi="Times New Roman" w:eastAsia="宋体"/>
                <w:b/>
                <w:sz w:val="21"/>
              </w:rPr>
              <w:t>测评内容</w:t>
            </w:r>
          </w:p>
        </w:tc>
        <w:tc>
          <w:tcPr>
            <w:tcW w:type="dxa" w:w="2158"/>
          </w:tcPr>
          <w:p>
            <w:pPr>
              <w:spacing w:after="20" w:before="20"/>
            </w:pPr>
            <w:r/>
            <w:r>
              <w:rPr>
                <w:rFonts w:ascii="Times New Roman" w:hAnsi="Times New Roman" w:eastAsia="宋体"/>
                <w:b/>
                <w:sz w:val="21"/>
              </w:rPr>
              <w:t>测评信息来源</w:t>
            </w:r>
          </w:p>
        </w:tc>
      </w:tr>
      <w:tr>
        <w:tc>
          <w:tcPr>
            <w:tcW w:type="dxa" w:w="2158"/>
          </w:tcPr>
          <w:p>
            <w:pPr>
              <w:spacing w:after="20" w:before="20"/>
            </w:pPr>
            <w:r/>
            <w:r>
              <w:rPr>
                <w:rFonts w:ascii="Times New Roman" w:hAnsi="Times New Roman" w:eastAsia="宋体"/>
                <w:b w:val="0"/>
                <w:sz w:val="21"/>
              </w:rPr>
              <w:t>综合成绩课程平均学分绩点分（折算为百分制）</w:t>
            </w:r>
          </w:p>
        </w:tc>
        <w:tc>
          <w:tcPr>
            <w:tcW w:type="dxa" w:w="2158"/>
          </w:tcPr>
          <w:p>
            <w:pPr>
              <w:spacing w:after="20" w:before="20"/>
            </w:pPr>
            <w:r/>
            <w:r>
              <w:rPr>
                <w:rFonts w:ascii="Times New Roman" w:hAnsi="Times New Roman" w:eastAsia="宋体"/>
                <w:b w:val="0"/>
                <w:sz w:val="21"/>
              </w:rPr>
              <w:t>0.80</w:t>
            </w:r>
          </w:p>
        </w:tc>
        <w:tc>
          <w:tcPr>
            <w:tcW w:type="dxa" w:w="2158"/>
          </w:tcPr>
          <w:p>
            <w:pPr>
              <w:spacing w:after="20" w:before="20"/>
            </w:pPr>
            <w:r/>
            <w:r>
              <w:rPr>
                <w:rFonts w:ascii="Times New Roman" w:hAnsi="Times New Roman" w:eastAsia="宋体"/>
                <w:b w:val="0"/>
                <w:sz w:val="21"/>
              </w:rPr>
              <w:t>四年制前 6学期、五年制前8个学期所修专业基础课程及专业课平均学分绩点。由学院教务办进行统计测算 (百分制分数=平均学分绩点*10+50)</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创新能力（百分制）</w:t>
            </w:r>
          </w:p>
        </w:tc>
        <w:tc>
          <w:tcPr>
            <w:tcW w:type="dxa" w:w="2158"/>
          </w:tcPr>
          <w:p>
            <w:pPr>
              <w:spacing w:after="20" w:before="20"/>
            </w:pPr>
            <w:r/>
            <w:r>
              <w:rPr>
                <w:rFonts w:ascii="Times New Roman" w:hAnsi="Times New Roman" w:eastAsia="宋体"/>
                <w:b w:val="0"/>
                <w:sz w:val="21"/>
              </w:rPr>
              <w:t>0.20</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思想政治综合素质</w:t>
            </w:r>
          </w:p>
        </w:tc>
        <w:tc>
          <w:tcPr>
            <w:tcW w:type="dxa" w:w="2158"/>
          </w:tcPr>
          <w:p>
            <w:pPr>
              <w:spacing w:after="20" w:before="20"/>
            </w:pPr>
            <w:r/>
            <w:r>
              <w:rPr>
                <w:rFonts w:ascii="Times New Roman" w:hAnsi="Times New Roman" w:eastAsia="宋体"/>
                <w:b w:val="0"/>
                <w:sz w:val="21"/>
              </w:rPr>
              <w:t>一票否决</w:t>
            </w:r>
          </w:p>
        </w:tc>
        <w:tc>
          <w:tcPr>
            <w:tcW w:type="dxa" w:w="2158"/>
          </w:tcPr>
          <w:p>
            <w:pPr>
              <w:spacing w:after="20" w:before="20"/>
            </w:pPr>
            <w:r/>
            <w:r>
              <w:rPr>
                <w:rFonts w:ascii="Times New Roman" w:hAnsi="Times New Roman" w:eastAsia="宋体"/>
                <w:b w:val="0"/>
                <w:sz w:val="21"/>
              </w:rPr>
              <w:t>按校院文件及相关通知精神执行。</w:t>
            </w:r>
          </w:p>
        </w:tc>
        <w:tc>
          <w:tcPr>
            <w:tcW w:type="dxa" w:w="2158"/>
          </w:tcPr>
          <w:p>
            <w:pPr>
              <w:spacing w:after="20" w:before="20"/>
            </w:pPr>
            <w:r/>
            <w:r>
              <w:rPr>
                <w:rFonts w:ascii="Times New Roman" w:hAnsi="Times New Roman" w:eastAsia="宋体"/>
                <w:b w:val="0"/>
                <w:sz w:val="21"/>
              </w:rPr>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