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建筑与城乡规划学院2026年推荐优秀应届本科毕业生免试攻读硕士学位研究生工作方案-福州大学-建筑与城乡规划学院</w:t>
      </w:r>
    </w:p>
    <w:p>
      <w:pPr>
        <w:spacing w:line="360" w:lineRule="auto" w:before="0" w:after="80"/>
        <w:ind w:firstLine="482"/>
        <w:jc w:val="both"/>
      </w:pPr>
      <w:r>
        <w:rPr>
          <w:rFonts w:ascii="Times New Roman" w:hAnsi="Times New Roman" w:eastAsia="宋体"/>
          <w:b w:val="0"/>
          <w:sz w:val="24"/>
        </w:rPr>
        <w:t>建筑与城乡规划学院2026年推荐优秀应届本科毕业生免试攻读硕士学位研究生工作方案</w:t>
      </w:r>
    </w:p>
    <w:p>
      <w:pPr>
        <w:spacing w:line="360" w:lineRule="auto" w:before="0" w:after="80"/>
        <w:ind w:firstLine="482"/>
        <w:jc w:val="both"/>
      </w:pPr>
      <w:r>
        <w:rPr>
          <w:rFonts w:ascii="Times New Roman" w:hAnsi="Times New Roman" w:eastAsia="宋体"/>
          <w:b w:val="0"/>
          <w:sz w:val="24"/>
        </w:rPr>
        <w:t>为切实做好我院推荐优秀应届本科毕业生免试攻读硕士学位研究生（以下简称推免生）工作，确保我院推免生工作公平、公正、公开进行，根据《福州大学推荐优秀应届本科毕业生免试攻读研究生工作实施办法（2022年修订）》（福大招考〔2022〕5号）和《关于做好我校2026年推荐优秀应届本科毕业生免试攻读研究生工作的通知》等有关文件精神，并结合学院实际，现将有关事项通知如下：</w:t>
      </w:r>
    </w:p>
    <w:p>
      <w:pPr>
        <w:spacing w:line="360" w:lineRule="auto" w:before="160" w:after="80"/>
        <w:ind w:firstLine="0"/>
        <w:jc w:val="left"/>
      </w:pPr>
      <w:r>
        <w:rPr>
          <w:rFonts w:ascii="Times New Roman" w:hAnsi="Times New Roman" w:eastAsia="宋体"/>
          <w:b/>
          <w:sz w:val="28"/>
        </w:rPr>
        <w:t>一、推荐免试生的条件</w:t>
      </w:r>
    </w:p>
    <w:p>
      <w:pPr>
        <w:spacing w:line="360" w:lineRule="auto" w:before="160" w:after="80"/>
        <w:ind w:firstLine="0"/>
        <w:jc w:val="left"/>
      </w:pPr>
      <w:r>
        <w:rPr>
          <w:rFonts w:ascii="Times New Roman" w:hAnsi="Times New Roman" w:eastAsia="宋体"/>
          <w:b/>
          <w:sz w:val="28"/>
        </w:rPr>
        <w:t>（一）拥护中国共产党的领导、拥护社会主义制度，遵纪守法、身心健康、德智体美劳全面发展。</w:t>
      </w:r>
    </w:p>
    <w:p>
      <w:pPr>
        <w:spacing w:line="360" w:lineRule="auto" w:before="160" w:after="80"/>
        <w:ind w:firstLine="0"/>
        <w:jc w:val="left"/>
      </w:pPr>
      <w:r>
        <w:rPr>
          <w:rFonts w:ascii="Times New Roman" w:hAnsi="Times New Roman" w:eastAsia="宋体"/>
          <w:b/>
          <w:sz w:val="28"/>
        </w:rPr>
        <w:t>（二）无违法违纪受处分记录，无考试作弊和剽窃他人学术成果等行为。</w:t>
      </w:r>
    </w:p>
    <w:p>
      <w:pPr>
        <w:spacing w:line="360" w:lineRule="auto" w:before="0" w:after="80"/>
        <w:ind w:firstLine="482"/>
        <w:jc w:val="both"/>
      </w:pPr>
      <w:r>
        <w:rPr>
          <w:rFonts w:ascii="Times New Roman" w:hAnsi="Times New Roman" w:eastAsia="宋体"/>
          <w:b w:val="0"/>
          <w:sz w:val="24"/>
        </w:rPr>
        <w:t>（三）勤奋学习，刻苦钻研，成绩优秀；学术研究兴趣浓厚，有较强的创新意识、科研创新潜能和专业能力倾向。纳入学业综合成绩计算的课程中不得有应修但未获得学分的课程，且成绩排名和应修课程应当符合以下条件：</w:t>
      </w:r>
    </w:p>
    <w:p>
      <w:pPr>
        <w:spacing w:line="360" w:lineRule="auto" w:before="0" w:after="80"/>
        <w:ind w:firstLine="482"/>
        <w:jc w:val="both"/>
      </w:pPr>
      <w:r>
        <w:rPr>
          <w:rFonts w:ascii="Times New Roman" w:hAnsi="Times New Roman" w:eastAsia="宋体"/>
          <w:b w:val="0"/>
          <w:sz w:val="24"/>
        </w:rPr>
        <w:t>学业综合成绩在本专业同年级排名前（含）35%，不得有补考或重修的课程；学业综合成绩在本专业同年级排名前（含）20％，允许有1门补考或重修的课程。</w:t>
      </w:r>
    </w:p>
    <w:p>
      <w:pPr>
        <w:spacing w:line="360" w:lineRule="auto" w:before="0" w:after="80"/>
        <w:ind w:firstLine="482"/>
        <w:jc w:val="both"/>
      </w:pPr>
      <w:r>
        <w:rPr>
          <w:rFonts w:ascii="Times New Roman" w:hAnsi="Times New Roman" w:eastAsia="宋体"/>
          <w:b w:val="0"/>
          <w:sz w:val="24"/>
        </w:rPr>
        <w:t>（四）应具有较高的外语应用能力和水平。校内大学英语四级考试成绩要求不低于78分，全国大学英语六级考试成绩达到教育部考试中心规定的合格分数线或全国大学英语四级考试成绩达到480分及以上，也可视为英语考试成绩符合推免生要求。</w:t>
      </w:r>
    </w:p>
    <w:p>
      <w:pPr>
        <w:spacing w:line="360" w:lineRule="auto" w:before="160" w:after="80"/>
        <w:ind w:firstLine="0"/>
        <w:jc w:val="left"/>
      </w:pPr>
      <w:r>
        <w:rPr>
          <w:rFonts w:ascii="Times New Roman" w:hAnsi="Times New Roman" w:eastAsia="宋体"/>
          <w:b/>
          <w:sz w:val="28"/>
        </w:rPr>
        <w:t>（五）有特殊政策要求的专项推免计划（如支教团、部属院校及科研院所定向补偿计划等）参照本推荐条件执行。</w:t>
      </w:r>
    </w:p>
    <w:p>
      <w:pPr>
        <w:spacing w:line="360" w:lineRule="auto" w:before="160" w:after="80"/>
        <w:ind w:firstLine="0"/>
        <w:jc w:val="left"/>
      </w:pPr>
      <w:r>
        <w:rPr>
          <w:rFonts w:ascii="Times New Roman" w:hAnsi="Times New Roman" w:eastAsia="宋体"/>
          <w:b/>
          <w:sz w:val="28"/>
        </w:rPr>
        <w:t>（六）按照国家文件精神，对于有特殊学术专长或具有突出培养潜质者，可不受上述业务条件限制，不拘一格加以选拔，推荐程序详见学校文件要求。</w:t>
      </w:r>
    </w:p>
    <w:p>
      <w:pPr>
        <w:spacing w:line="360" w:lineRule="auto" w:before="160" w:after="80"/>
        <w:ind w:firstLine="0"/>
        <w:jc w:val="left"/>
      </w:pPr>
      <w:r>
        <w:rPr>
          <w:rFonts w:ascii="Times New Roman" w:hAnsi="Times New Roman" w:eastAsia="宋体"/>
          <w:b/>
          <w:sz w:val="28"/>
        </w:rPr>
        <w:t>二、工作的程序和要求</w:t>
      </w:r>
    </w:p>
    <w:p>
      <w:pPr>
        <w:spacing w:line="360" w:lineRule="auto" w:before="160" w:after="80"/>
        <w:ind w:firstLine="0"/>
        <w:jc w:val="left"/>
      </w:pPr>
      <w:r>
        <w:rPr>
          <w:rFonts w:ascii="Times New Roman" w:hAnsi="Times New Roman" w:eastAsia="宋体"/>
          <w:b/>
          <w:sz w:val="28"/>
        </w:rPr>
        <w:t>（一）推荐工作程序</w:t>
      </w:r>
    </w:p>
    <w:p>
      <w:pPr>
        <w:spacing w:line="360" w:lineRule="auto" w:before="160" w:after="80"/>
        <w:ind w:firstLine="0"/>
        <w:jc w:val="left"/>
      </w:pPr>
      <w:r>
        <w:rPr>
          <w:rFonts w:ascii="Times New Roman" w:hAnsi="Times New Roman" w:eastAsia="宋体"/>
          <w:b/>
          <w:sz w:val="28"/>
        </w:rPr>
        <w:t>1.学院成立推免生遴选工作领导小组，加强对推荐工作的领导和协调。</w:t>
      </w:r>
    </w:p>
    <w:p>
      <w:pPr>
        <w:spacing w:line="360" w:lineRule="auto" w:before="160" w:after="80"/>
        <w:ind w:firstLine="0"/>
        <w:jc w:val="left"/>
      </w:pPr>
      <w:r>
        <w:rPr>
          <w:rFonts w:ascii="Times New Roman" w:hAnsi="Times New Roman" w:eastAsia="宋体"/>
          <w:b/>
          <w:sz w:val="28"/>
        </w:rPr>
        <w:t>2.学院成立推免生专家审核小组，对于有特殊学术专长或具有突出培养潜质者进行审核。</w:t>
      </w:r>
    </w:p>
    <w:p>
      <w:pPr>
        <w:spacing w:line="360" w:lineRule="auto" w:before="0" w:after="80"/>
        <w:ind w:firstLine="482"/>
        <w:jc w:val="both"/>
      </w:pPr>
      <w:r>
        <w:rPr>
          <w:rFonts w:ascii="Times New Roman" w:hAnsi="Times New Roman" w:eastAsia="宋体"/>
          <w:b w:val="0"/>
          <w:sz w:val="24"/>
        </w:rPr>
        <w:t>3.符合推荐条件的学生，由本人自愿在2025年9月10日17:00之前向学院提出申请，提交《福州大学推荐免试攻读研究生资格申请表》《推免生基本情况汇总表》、电子版成绩单、英语符合推免条件证明材料以及其他相应科研奖项证明材料。资料经初审后，学院将召开推免生遴选工作领导小组会议，确定拟推荐推免生名单并进行公示。</w:t>
      </w:r>
    </w:p>
    <w:p>
      <w:pPr>
        <w:spacing w:line="360" w:lineRule="auto" w:before="160" w:after="80"/>
        <w:ind w:firstLine="0"/>
        <w:jc w:val="left"/>
      </w:pPr>
      <w:r>
        <w:rPr>
          <w:rFonts w:ascii="Times New Roman" w:hAnsi="Times New Roman" w:eastAsia="宋体"/>
          <w:b/>
          <w:sz w:val="28"/>
        </w:rPr>
        <w:t>4.学院推免名额为：建筑学9人，城乡规划6人，风景园林3人；考核比例为1:1.3。入围名额为：建筑学12人，城乡规划8人，风景园林4人。</w:t>
      </w:r>
    </w:p>
    <w:p>
      <w:pPr>
        <w:spacing w:line="360" w:lineRule="auto" w:before="160" w:after="80"/>
        <w:ind w:firstLine="0"/>
        <w:jc w:val="left"/>
      </w:pPr>
      <w:r>
        <w:rPr>
          <w:rFonts w:ascii="Times New Roman" w:hAnsi="Times New Roman" w:eastAsia="宋体"/>
          <w:b/>
          <w:sz w:val="28"/>
        </w:rPr>
        <w:t>三、遴选规则</w:t>
      </w:r>
    </w:p>
    <w:p>
      <w:pPr>
        <w:spacing w:line="360" w:lineRule="auto" w:before="0" w:after="80"/>
        <w:ind w:firstLine="482"/>
        <w:jc w:val="both"/>
      </w:pPr>
      <w:r>
        <w:rPr>
          <w:rFonts w:ascii="Times New Roman" w:hAnsi="Times New Roman" w:eastAsia="宋体"/>
          <w:b w:val="0"/>
          <w:sz w:val="24"/>
        </w:rPr>
        <w:t>我院推免生工作坚持德、智、体全面衡量，对符合条件的申请人进行综合测评（内容学院根据综合测评成绩排出综合排名，择优确定拟推免名单。综合测评成绩由学业综合成绩及综合素质测评组成，其中学业综合成绩占比90%，综合素质测评占比10%（其中本专业相关的科研成果和学科竞赛等占7%，其他占3%），即：综合测评成绩=学业综合成绩*90%+综合素质测评*10%。</w:t>
      </w:r>
    </w:p>
    <w:p>
      <w:pPr>
        <w:spacing w:line="360" w:lineRule="auto" w:before="160" w:after="80"/>
        <w:ind w:firstLine="0"/>
        <w:jc w:val="left"/>
      </w:pPr>
      <w:r>
        <w:rPr>
          <w:rFonts w:ascii="Times New Roman" w:hAnsi="Times New Roman" w:eastAsia="宋体"/>
          <w:b/>
          <w:sz w:val="28"/>
        </w:rPr>
        <w:t>（一）占比90%的学业综合成绩以教务处认定结果为准，考察学生的专业学习能力；</w:t>
      </w:r>
    </w:p>
    <w:p>
      <w:pPr>
        <w:spacing w:line="360" w:lineRule="auto" w:before="0" w:after="80"/>
        <w:ind w:firstLine="482"/>
        <w:jc w:val="both"/>
      </w:pPr>
      <w:r>
        <w:rPr>
          <w:rFonts w:ascii="Times New Roman" w:hAnsi="Times New Roman" w:eastAsia="宋体"/>
          <w:b w:val="0"/>
          <w:sz w:val="24"/>
        </w:rPr>
        <w:t>（二）占比7%的科研成果和学科竞赛等以申请者提交的各类获奖证书、专利等纸质文件为依据，考察学生科学研究与学科创新能力。根据申请推免生本人本科期间参与科研创新所获成果给予加分，加分具体项目如下（满分100分）：</w:t>
      </w:r>
    </w:p>
    <w:p>
      <w:pPr>
        <w:spacing w:line="360" w:lineRule="auto" w:before="160" w:after="80"/>
        <w:ind w:firstLine="0"/>
        <w:jc w:val="left"/>
      </w:pPr>
      <w:r>
        <w:rPr>
          <w:rFonts w:ascii="Times New Roman" w:hAnsi="Times New Roman" w:eastAsia="宋体"/>
          <w:b/>
          <w:sz w:val="28"/>
        </w:rPr>
        <w:t>1.论文发表与专利授权基本分与权重：</w:t>
      </w:r>
    </w:p>
    <w:tbl>
      <w:tblPr>
        <w:tblStyle w:val="TableGrid"/>
        <w:tblW w:type="auto" w:w="0"/>
        <w:tblLook w:firstColumn="1" w:firstRow="1" w:lastColumn="0" w:lastRow="0" w:noHBand="0" w:noVBand="1" w:val="04A0"/>
      </w:tblPr>
      <w:tblGrid>
        <w:gridCol w:w="4317"/>
        <w:gridCol w:w="4317"/>
      </w:tblGrid>
      <w:tr>
        <w:tc>
          <w:tcPr>
            <w:tcW w:type="dxa" w:w="4317"/>
          </w:tcPr>
          <w:p>
            <w:pPr>
              <w:jc w:val="center"/>
            </w:pPr>
            <w:r>
              <w:rPr>
                <w:rFonts w:ascii="Times New Roman" w:hAnsi="Times New Roman" w:eastAsia="宋体"/>
                <w:b/>
                <w:sz w:val="21"/>
              </w:rPr>
              <w:t>表1.论文、专利等基本分</w:t>
            </w:r>
          </w:p>
        </w:tc>
        <w:tc>
          <w:tcPr>
            <w:tcW w:type="dxa" w:w="4317"/>
          </w:tcPr>
          <w:p>
            <w:pPr>
              <w:jc w:val="center"/>
            </w:pPr>
            <w:r>
              <w:rPr>
                <w:rFonts w:ascii="Times New Roman" w:hAnsi="Times New Roman" w:eastAsia="宋体"/>
                <w:b/>
                <w:sz w:val="21"/>
              </w:rPr>
              <w:t>论文专利分类</w:t>
            </w:r>
          </w:p>
        </w:tc>
      </w:tr>
      <w:tr>
        <w:tc>
          <w:tcPr>
            <w:tcW w:type="dxa" w:w="4317"/>
          </w:tcPr>
          <w:p>
            <w:pPr>
              <w:jc w:val="center"/>
            </w:pPr>
            <w:r>
              <w:rPr>
                <w:rFonts w:ascii="Times New Roman" w:hAnsi="Times New Roman" w:eastAsia="宋体"/>
                <w:sz w:val="21"/>
              </w:rPr>
              <w:t>顶级、卓越</w:t>
            </w:r>
          </w:p>
        </w:tc>
        <w:tc>
          <w:tcPr>
            <w:tcW w:type="dxa" w:w="4317"/>
          </w:tcPr>
          <w:p>
            <w:pPr>
              <w:jc w:val="center"/>
            </w:pPr>
            <w:r>
              <w:rPr>
                <w:rFonts w:ascii="Times New Roman" w:hAnsi="Times New Roman" w:eastAsia="宋体"/>
                <w:sz w:val="21"/>
              </w:rPr>
              <w:t>一类、核心</w:t>
            </w:r>
          </w:p>
        </w:tc>
      </w:tr>
      <w:tr>
        <w:tc>
          <w:tcPr>
            <w:tcW w:type="dxa" w:w="4317"/>
          </w:tcPr>
          <w:p>
            <w:pPr>
              <w:jc w:val="center"/>
            </w:pPr>
            <w:r>
              <w:rPr>
                <w:rFonts w:ascii="Times New Roman" w:hAnsi="Times New Roman" w:eastAsia="宋体"/>
                <w:sz w:val="21"/>
              </w:rPr>
              <w:t>发明专利</w:t>
            </w:r>
          </w:p>
        </w:tc>
        <w:tc>
          <w:tcPr>
            <w:tcW w:type="dxa" w:w="4317"/>
          </w:tcPr>
          <w:p>
            <w:pPr>
              <w:jc w:val="center"/>
            </w:pPr>
            <w:r>
              <w:rPr>
                <w:rFonts w:ascii="Times New Roman" w:hAnsi="Times New Roman" w:eastAsia="宋体"/>
                <w:sz w:val="21"/>
              </w:rPr>
              <w:t>实用新型</w:t>
            </w:r>
          </w:p>
        </w:tc>
      </w:tr>
      <w:tr>
        <w:tc>
          <w:tcPr>
            <w:tcW w:type="dxa" w:w="4317"/>
          </w:tcPr>
          <w:p>
            <w:pPr>
              <w:jc w:val="center"/>
            </w:pPr>
            <w:r>
              <w:rPr>
                <w:rFonts w:ascii="Times New Roman" w:hAnsi="Times New Roman" w:eastAsia="宋体"/>
                <w:sz w:val="21"/>
              </w:rPr>
              <w:t>专利</w:t>
            </w:r>
          </w:p>
        </w:tc>
        <w:tc>
          <w:tcPr>
            <w:tcW w:type="dxa" w:w="4317"/>
          </w:tcPr>
          <w:p>
            <w:pPr>
              <w:jc w:val="center"/>
            </w:pPr>
            <w:r>
              <w:rPr>
                <w:rFonts w:ascii="Times New Roman" w:hAnsi="Times New Roman" w:eastAsia="宋体"/>
                <w:sz w:val="21"/>
              </w:rPr>
              <w:t>外观设计</w:t>
            </w:r>
          </w:p>
        </w:tc>
      </w:tr>
      <w:tr>
        <w:tc>
          <w:tcPr>
            <w:tcW w:type="dxa" w:w="4317"/>
          </w:tcPr>
          <w:p>
            <w:pPr>
              <w:jc w:val="center"/>
            </w:pPr>
            <w:r>
              <w:rPr>
                <w:rFonts w:ascii="Times New Roman" w:hAnsi="Times New Roman" w:eastAsia="宋体"/>
                <w:sz w:val="21"/>
              </w:rPr>
              <w:t>专利</w:t>
            </w:r>
          </w:p>
        </w:tc>
        <w:tc>
          <w:tcPr>
            <w:tcW w:type="dxa" w:w="4317"/>
          </w:tcPr>
          <w:p>
            <w:pPr>
              <w:jc w:val="center"/>
            </w:pPr>
            <w:r>
              <w:rPr>
                <w:rFonts w:ascii="Times New Roman" w:hAnsi="Times New Roman" w:eastAsia="宋体"/>
                <w:sz w:val="21"/>
              </w:rPr>
              <w:t>基本分</w:t>
            </w:r>
          </w:p>
        </w:tc>
      </w:tr>
      <w:tr>
        <w:tc>
          <w:tcPr>
            <w:tcW w:type="dxa" w:w="4317"/>
          </w:tcPr>
          <w:p>
            <w:pPr>
              <w:jc w:val="center"/>
            </w:pPr>
            <w:r>
              <w:rPr>
                <w:rFonts w:ascii="Times New Roman" w:hAnsi="Times New Roman" w:eastAsia="宋体"/>
                <w:sz w:val="21"/>
              </w:rPr>
              <w:t>25</w:t>
            </w:r>
          </w:p>
        </w:tc>
        <w:tc>
          <w:tcPr>
            <w:tcW w:type="dxa" w:w="4317"/>
          </w:tcPr>
          <w:p>
            <w:pPr>
              <w:jc w:val="center"/>
            </w:pPr>
            <w:r>
              <w:rPr>
                <w:rFonts w:ascii="Times New Roman" w:hAnsi="Times New Roman" w:eastAsia="宋体"/>
                <w:sz w:val="21"/>
              </w:rPr>
              <w:t>15</w:t>
            </w:r>
          </w:p>
        </w:tc>
      </w:tr>
      <w:tr>
        <w:tc>
          <w:tcPr>
            <w:tcW w:type="dxa" w:w="4317"/>
          </w:tcPr>
          <w:p>
            <w:pPr>
              <w:jc w:val="center"/>
            </w:pPr>
            <w:r>
              <w:rPr>
                <w:rFonts w:ascii="Times New Roman" w:hAnsi="Times New Roman" w:eastAsia="宋体"/>
                <w:sz w:val="21"/>
              </w:rPr>
              <w:t>12</w:t>
            </w:r>
          </w:p>
        </w:tc>
        <w:tc>
          <w:tcPr>
            <w:tcW w:type="dxa" w:w="4317"/>
          </w:tcPr>
          <w:p>
            <w:pPr>
              <w:jc w:val="center"/>
            </w:pPr>
            <w:r>
              <w:rPr>
                <w:rFonts w:ascii="Times New Roman" w:hAnsi="Times New Roman" w:eastAsia="宋体"/>
                <w:sz w:val="21"/>
              </w:rPr>
              <w:t>5</w:t>
            </w:r>
          </w:p>
        </w:tc>
      </w:tr>
      <w:tr>
        <w:tc>
          <w:tcPr>
            <w:tcW w:type="dxa" w:w="4317"/>
          </w:tcPr>
          <w:p>
            <w:pPr>
              <w:jc w:val="center"/>
            </w:pPr>
            <w:r>
              <w:rPr>
                <w:rFonts w:ascii="Times New Roman" w:hAnsi="Times New Roman" w:eastAsia="宋体"/>
                <w:sz w:val="21"/>
              </w:rPr>
              <w:t>5</w:t>
            </w:r>
          </w:p>
        </w:tc>
        <w:tc>
          <w:tcPr>
            <w:tcW w:type="dxa" w:w="4317"/>
          </w:tcPr>
          <w:p>
            <w:pPr>
              <w:jc w:val="center"/>
            </w:pPr>
            <w:r>
              <w:rPr>
                <w:rFonts w:ascii="Times New Roman" w:hAnsi="Times New Roman" w:eastAsia="宋体"/>
                <w:sz w:val="21"/>
              </w:rPr>
            </w:r>
          </w:p>
        </w:tc>
      </w:tr>
    </w:tbl>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