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F7338B">
      <w:pPr>
        <w:pStyle w:val="5"/>
        <w:widowControl w:val="0"/>
        <w:spacing w:before="0" w:beforeAutospacing="0" w:after="80" w:afterAutospacing="0" w:line="360" w:lineRule="auto"/>
        <w:ind w:right="74" w:firstLine="482"/>
        <w:jc w:val="both"/>
        <w:rPr>
          <w:rFonts w:ascii="仿宋" w:hAnsi="仿宋" w:eastAsia="仿宋" w:cs="黑体"/>
          <w:color w:val="000000"/>
          <w:kern w:val="2"/>
          <w:sz w:val="32"/>
          <w:szCs w:val="32"/>
          <w:highlight w:val="none"/>
        </w:rPr>
      </w:pPr>
      <w:r>
        <w:rPr>
          <w:rFonts w:hint="eastAsia" w:ascii="Times New Roman" w:hAnsi="Times New Roman" w:eastAsia="宋体" w:cs="黑体"/>
          <w:b w:val="0"/>
          <w:color w:val="000000"/>
          <w:kern w:val="2"/>
          <w:sz w:val="24"/>
          <w:szCs w:val="32"/>
          <w:highlight w:val="none"/>
        </w:rPr>
        <w:t>附件</w:t>
      </w:r>
      <w:r>
        <w:rPr>
          <w:rFonts w:ascii="Times New Roman" w:hAnsi="Times New Roman" w:eastAsia="宋体" w:cs="黑体"/>
          <w:b w:val="0"/>
          <w:color w:val="000000"/>
          <w:kern w:val="2"/>
          <w:sz w:val="24"/>
          <w:szCs w:val="32"/>
          <w:highlight w:val="none"/>
        </w:rPr>
        <w:t>2</w:t>
      </w:r>
      <w:r>
        <w:rPr>
          <w:rFonts w:hint="eastAsia" w:ascii="Times New Roman" w:hAnsi="Times New Roman" w:eastAsia="宋体" w:cs="黑体"/>
          <w:b w:val="0"/>
          <w:color w:val="000000"/>
          <w:kern w:val="2"/>
          <w:sz w:val="24"/>
          <w:szCs w:val="32"/>
          <w:highlight w:val="none"/>
        </w:rPr>
        <w:t>：</w:t>
      </w:r>
    </w:p>
    <w:p w14:paraId="35530F1B">
      <w:pPr>
        <w:pStyle w:val="5"/>
        <w:widowControl w:val="0"/>
        <w:spacing w:before="120" w:beforeAutospacing="0" w:after="60" w:afterAutospacing="0" w:line="360" w:lineRule="auto"/>
        <w:ind w:right="74" w:firstLine="0"/>
        <w:jc w:val="left"/>
        <w:rPr>
          <w:rFonts w:hint="eastAsia" w:ascii="方正小标宋简体" w:hAnsi="黑体" w:eastAsia="方正小标宋简体" w:cs="黑体"/>
          <w:color w:val="000000"/>
          <w:kern w:val="2"/>
          <w:sz w:val="42"/>
          <w:szCs w:val="44"/>
          <w:highlight w:val="none"/>
          <w:lang w:eastAsia="zh-CN"/>
        </w:rPr>
      </w:pPr>
      <w:r>
        <w:rPr>
          <w:rFonts w:hint="eastAsia" w:ascii="Times New Roman" w:hAnsi="Times New Roman" w:eastAsia="宋体" w:cs="黑体"/>
          <w:b/>
          <w:color w:val="000000"/>
          <w:kern w:val="2"/>
          <w:sz w:val="24"/>
          <w:szCs w:val="44"/>
          <w:highlight w:val="none"/>
        </w:rPr>
        <w:t>生命科学学院</w:t>
      </w:r>
      <w:r>
        <w:rPr>
          <w:rFonts w:hint="eastAsia" w:ascii="Times New Roman" w:hAnsi="Times New Roman" w:eastAsia="宋体" w:cs="黑体"/>
          <w:b/>
          <w:color w:val="000000"/>
          <w:kern w:val="2"/>
          <w:sz w:val="24"/>
          <w:szCs w:val="44"/>
          <w:highlight w:val="none"/>
          <w:lang w:eastAsia="zh-CN"/>
        </w:rPr>
        <w:t>202</w:t>
      </w:r>
      <w:r>
        <w:rPr>
          <w:rFonts w:hint="eastAsia" w:ascii="Times New Roman" w:hAnsi="Times New Roman" w:eastAsia="宋体" w:cs="黑体"/>
          <w:b/>
          <w:color w:val="000000"/>
          <w:kern w:val="2"/>
          <w:sz w:val="24"/>
          <w:szCs w:val="44"/>
          <w:highlight w:val="none"/>
          <w:lang w:val="en-US" w:eastAsia="zh-CN"/>
        </w:rPr>
        <w:t>6</w:t>
      </w:r>
      <w:r>
        <w:rPr>
          <w:rFonts w:hint="eastAsia" w:ascii="Times New Roman" w:hAnsi="Times New Roman" w:eastAsia="宋体" w:cs="黑体"/>
          <w:b/>
          <w:color w:val="000000"/>
          <w:kern w:val="2"/>
          <w:sz w:val="24"/>
          <w:szCs w:val="44"/>
          <w:highlight w:val="none"/>
          <w:lang w:eastAsia="zh-CN"/>
        </w:rPr>
        <w:t>年</w:t>
      </w:r>
    </w:p>
    <w:p w14:paraId="3B7AA25C">
      <w:pPr>
        <w:spacing w:line="360" w:lineRule="auto" w:before="120" w:after="60"/>
        <w:ind w:firstLine="0"/>
        <w:jc w:val="left"/>
        <w:rPr>
          <w:rFonts w:ascii="方正小标宋简体" w:hAnsi="黑体" w:eastAsia="方正小标宋简体" w:cs="黑体"/>
          <w:color w:val="000000"/>
          <w:sz w:val="42"/>
          <w:szCs w:val="44"/>
          <w:highlight w:val="none"/>
        </w:rPr>
      </w:pPr>
      <w:r>
        <w:rPr>
          <w:rFonts w:hint="eastAsia" w:ascii="Times New Roman" w:hAnsi="Times New Roman" w:eastAsia="宋体" w:cs="黑体"/>
          <w:b/>
          <w:color w:val="000000"/>
          <w:sz w:val="24"/>
          <w:szCs w:val="44"/>
          <w:highlight w:val="none"/>
        </w:rPr>
        <w:t>推荐优秀应届本科毕业生免试攻读</w:t>
      </w:r>
    </w:p>
    <w:p w14:paraId="0C92D603">
      <w:pPr>
        <w:spacing w:line="360" w:lineRule="auto" w:before="120" w:after="60"/>
        <w:ind w:firstLine="0"/>
        <w:jc w:val="left"/>
        <w:rPr>
          <w:rFonts w:ascii="黑体" w:hAnsi="黑体" w:eastAsia="方正小标宋简体" w:cs="仿宋_GB2312"/>
          <w:color w:val="000000"/>
          <w:sz w:val="32"/>
          <w:szCs w:val="32"/>
          <w:highlight w:val="none"/>
        </w:rPr>
      </w:pPr>
      <w:r>
        <w:rPr>
          <w:rFonts w:hint="eastAsia" w:ascii="Times New Roman" w:hAnsi="Times New Roman" w:eastAsia="宋体" w:cs="黑体"/>
          <w:b/>
          <w:color w:val="000000"/>
          <w:sz w:val="24"/>
          <w:szCs w:val="44"/>
          <w:highlight w:val="none"/>
        </w:rPr>
        <w:t>研究生工作考查评分实施细则</w:t>
      </w:r>
    </w:p>
    <w:p w14:paraId="1E7E199B">
      <w:pPr>
        <w:spacing w:line="600" w:lineRule="exact"/>
        <w:jc w:val="center"/>
        <w:rPr>
          <w:rFonts w:ascii="黑体" w:hAnsi="黑体" w:eastAsia="黑体" w:cs="仿宋_GB2312"/>
          <w:color w:val="000000"/>
          <w:sz w:val="32"/>
          <w:szCs w:val="32"/>
          <w:highlight w:val="none"/>
        </w:rPr>
      </w:pPr>
    </w:p>
    <w:p w14:paraId="16E2ABF5">
      <w:pPr>
        <w:pStyle w:val="5"/>
        <w:widowControl w:val="0"/>
        <w:spacing w:before="160" w:beforeAutospacing="0" w:after="80" w:afterAutospacing="0" w:line="360" w:lineRule="auto"/>
        <w:ind w:right="74" w:firstLine="0"/>
        <w:jc w:val="left"/>
        <w:rPr>
          <w:rFonts w:ascii="黑体" w:hAnsi="黑体" w:eastAsia="黑体" w:cs="Times New Roman"/>
          <w:b/>
          <w:color w:val="000000"/>
          <w:kern w:val="2"/>
          <w:sz w:val="32"/>
          <w:szCs w:val="32"/>
          <w:highlight w:val="none"/>
        </w:rPr>
      </w:pPr>
      <w:r>
        <w:rPr>
          <w:rFonts w:hint="eastAsia" w:ascii="Times New Roman" w:hAnsi="Times New Roman" w:eastAsia="宋体" w:cs="黑体"/>
          <w:b/>
          <w:color w:val="000000"/>
          <w:sz w:val="28"/>
          <w:szCs w:val="32"/>
          <w:highlight w:val="none"/>
        </w:rPr>
        <w:t>第一章</w:t>
      </w:r>
      <w:r>
        <w:rPr>
          <w:rFonts w:hint="eastAsia" w:ascii="Times New Roman" w:hAnsi="Times New Roman" w:eastAsia="宋体" w:cs="黑体"/>
          <w:b/>
          <w:color w:val="000000"/>
          <w:kern w:val="2"/>
          <w:sz w:val="28"/>
          <w:szCs w:val="32"/>
          <w:highlight w:val="none"/>
        </w:rPr>
        <w:t xml:space="preserve"> </w:t>
      </w:r>
      <w:r>
        <w:rPr>
          <w:rFonts w:hint="eastAsia" w:ascii="Times New Roman" w:hAnsi="Times New Roman" w:eastAsia="宋体" w:cs="黑体"/>
          <w:b/>
          <w:color w:val="000000"/>
          <w:sz w:val="28"/>
          <w:szCs w:val="32"/>
          <w:highlight w:val="none"/>
        </w:rPr>
        <w:t>总则</w:t>
      </w:r>
    </w:p>
    <w:p w14:paraId="1AB0D508">
      <w:pPr>
        <w:keepNext w:val="0"/>
        <w:keepLines w:val="0"/>
        <w:pageBreakBefore w:val="0"/>
        <w:widowControl/>
        <w:suppressLineNumbers w:val="0"/>
        <w:kinsoku/>
        <w:wordWrap/>
        <w:overflowPunct/>
        <w:topLinePunct w:val="0"/>
        <w:autoSpaceDE/>
        <w:autoSpaceDN/>
        <w:bidi w:val="0"/>
        <w:adjustRightInd/>
        <w:snapToGrid/>
        <w:spacing w:line="360" w:lineRule="auto" w:before="0" w:after="80"/>
        <w:ind w:firstLineChars="200" w:firstLine="482"/>
        <w:jc w:val="both"/>
        <w:textAlignment w:val="auto"/>
        <w:rPr>
          <w:rFonts w:ascii="黑体" w:hAnsi="黑体" w:eastAsia="黑体" w:cs="黑体"/>
          <w:color w:val="000000"/>
          <w:sz w:val="32"/>
          <w:szCs w:val="32"/>
          <w:highlight w:val="none"/>
        </w:rPr>
      </w:pPr>
      <w:r>
        <w:rPr>
          <w:rFonts w:hint="eastAsia" w:ascii="Times New Roman" w:eastAsia="宋体" w:cs="仿宋_GB2312" w:hAnsiTheme="minorEastAsia" w:hAnsi="Times New Roman"/>
          <w:b w:val="0"/>
          <w:color w:val="000000"/>
          <w:sz w:val="24"/>
          <w:szCs w:val="32"/>
          <w:highlight w:val="none"/>
        </w:rPr>
        <w:t>第一条  为进一步做好学院推荐优秀应届本科毕业生免试攻读研究生（以下简称“推免生”）考查评分工作，根据《西北农林科技大学推荐优秀应届本科毕业生免试攻读研究生实施办法》(校研发〔2024〕236 号)</w:t>
      </w:r>
      <w:r>
        <w:rPr>
          <w:rFonts w:hint="eastAsia" w:ascii="Times New Roman" w:eastAsia="宋体" w:cs="仿宋_GB2312" w:hAnsiTheme="minorEastAsia" w:hAnsi="Times New Roman"/>
          <w:b w:val="0"/>
          <w:color w:val="000000"/>
          <w:sz w:val="24"/>
          <w:szCs w:val="32"/>
          <w:highlight w:val="none"/>
          <w:lang w:val="en-US" w:eastAsia="zh-CN"/>
        </w:rPr>
        <w:t>和</w:t>
      </w:r>
      <w:r>
        <w:rPr>
          <w:rFonts w:hint="eastAsia" w:ascii="Times New Roman" w:eastAsia="宋体" w:cs="仿宋_GB2312" w:hAnsiTheme="minorEastAsia" w:hAnsi="Times New Roman"/>
          <w:b w:val="0"/>
          <w:color w:val="000000"/>
          <w:sz w:val="24"/>
          <w:szCs w:val="32"/>
          <w:highlight w:val="none"/>
          <w:lang w:eastAsia="zh-CN"/>
        </w:rPr>
        <w:t>《西北农林科技大学生物科学基地班免试攻读研究生遴选办法（试行）》（</w:t>
      </w:r>
      <w:r>
        <w:rPr>
          <w:rFonts w:ascii="Times New Roman" w:hAnsi="Times New Roman" w:eastAsia="宋体" w:cs="仿宋"/>
          <w:b w:val="0"/>
          <w:color w:val="000000"/>
          <w:kern w:val="0"/>
          <w:sz w:val="24"/>
          <w:szCs w:val="31"/>
          <w:highlight w:val="none"/>
          <w:lang w:val="en-US" w:eastAsia="zh-CN" w:bidi="ar"/>
        </w:rPr>
        <w:t>教务〔2024〕5 号</w:t>
      </w:r>
      <w:r>
        <w:rPr>
          <w:rFonts w:hint="eastAsia" w:ascii="Times New Roman" w:eastAsia="宋体" w:cs="仿宋_GB2312" w:hAnsiTheme="minorEastAsia" w:hAnsi="Times New Roman"/>
          <w:b w:val="0"/>
          <w:color w:val="000000"/>
          <w:sz w:val="24"/>
          <w:szCs w:val="32"/>
          <w:highlight w:val="none"/>
          <w:lang w:eastAsia="zh-CN"/>
        </w:rPr>
        <w:t>）</w:t>
      </w:r>
      <w:r>
        <w:rPr>
          <w:rFonts w:hint="eastAsia" w:ascii="Times New Roman" w:eastAsia="宋体" w:cs="仿宋_GB2312" w:hAnsiTheme="minorEastAsia" w:hAnsi="Times New Roman"/>
          <w:b w:val="0"/>
          <w:color w:val="000000"/>
          <w:sz w:val="24"/>
          <w:szCs w:val="32"/>
          <w:highlight w:val="none"/>
        </w:rPr>
        <w:t>有关规定，结合《关于做好202</w:t>
      </w:r>
      <w:r>
        <w:rPr>
          <w:rFonts w:hint="eastAsia" w:ascii="Times New Roman" w:eastAsia="宋体" w:cs="仿宋_GB2312" w:hAnsiTheme="minorEastAsia" w:hAnsi="Times New Roman"/>
          <w:b w:val="0"/>
          <w:color w:val="000000"/>
          <w:sz w:val="24"/>
          <w:szCs w:val="32"/>
          <w:highlight w:val="none"/>
          <w:lang w:val="en-US" w:eastAsia="zh-CN"/>
        </w:rPr>
        <w:t>6</w:t>
      </w:r>
      <w:r>
        <w:rPr>
          <w:rFonts w:hint="eastAsia" w:ascii="Times New Roman" w:eastAsia="宋体" w:cs="仿宋_GB2312" w:hAnsiTheme="minorEastAsia" w:hAnsi="Times New Roman"/>
          <w:b w:val="0"/>
          <w:color w:val="000000"/>
          <w:sz w:val="24"/>
          <w:szCs w:val="32"/>
          <w:highlight w:val="none"/>
        </w:rPr>
        <w:t>年推荐优秀应届本科毕业生免试攻读研究生工作的通知》内容，本着公平、公正、公开的原则，特制定本细则。</w:t>
      </w:r>
    </w:p>
    <w:p w14:paraId="436725B5">
      <w:pPr>
        <w:spacing w:line="360" w:lineRule="auto" w:before="160" w:after="80"/>
        <w:ind w:firstLine="0"/>
        <w:jc w:val="left"/>
        <w:rPr>
          <w:rFonts w:ascii="黑体" w:hAnsi="黑体" w:eastAsia="黑体" w:cs="仿宋_GB2312"/>
          <w:color w:val="000000"/>
          <w:sz w:val="32"/>
          <w:szCs w:val="32"/>
          <w:highlight w:val="none"/>
        </w:rPr>
      </w:pPr>
      <w:r>
        <w:rPr>
          <w:rFonts w:hint="eastAsia" w:ascii="Times New Roman" w:hAnsi="Times New Roman" w:eastAsia="宋体" w:cs="黑体"/>
          <w:b/>
          <w:color w:val="000000"/>
          <w:sz w:val="28"/>
          <w:szCs w:val="32"/>
          <w:highlight w:val="none"/>
        </w:rPr>
        <w:t>第二章</w:t>
      </w:r>
      <w:r>
        <w:rPr>
          <w:rFonts w:hint="eastAsia" w:ascii="Times New Roman" w:hAnsi="Times New Roman" w:eastAsia="宋体" w:cs="黑体"/>
          <w:b/>
          <w:color w:val="000000"/>
          <w:sz w:val="28"/>
          <w:szCs w:val="32"/>
          <w:highlight w:val="none"/>
        </w:rPr>
        <w:t xml:space="preserve"> </w:t>
      </w:r>
      <w:r>
        <w:rPr>
          <w:rFonts w:hint="eastAsia" w:ascii="Times New Roman" w:hAnsi="Times New Roman" w:eastAsia="宋体" w:cs="仿宋_GB2312"/>
          <w:b/>
          <w:color w:val="000000"/>
          <w:sz w:val="28"/>
          <w:szCs w:val="32"/>
          <w:highlight w:val="none"/>
        </w:rPr>
        <w:t>评分办法</w:t>
      </w:r>
    </w:p>
    <w:p w14:paraId="02DAC8DD">
      <w:pPr>
        <w:spacing w:line="360" w:lineRule="auto" w:before="0" w:after="80"/>
        <w:ind w:firstLineChars="200" w:firstLine="482"/>
        <w:jc w:val="both"/>
        <w:rPr>
          <w:rFonts w:hint="eastAsia" w:ascii="仿宋_GB2312" w:eastAsia="仿宋_GB2312" w:cs="仿宋_GB2312" w:hAnsiTheme="minorEastAsia"/>
          <w:sz w:val="32"/>
          <w:szCs w:val="32"/>
          <w:highlight w:val="none"/>
        </w:rPr>
      </w:pPr>
      <w:r>
        <w:rPr>
          <w:rFonts w:hint="eastAsia" w:ascii="Times New Roman" w:eastAsia="宋体" w:cs="仿宋_GB2312" w:hAnsiTheme="minorEastAsia" w:hAnsi="Times New Roman"/>
          <w:b w:val="0"/>
          <w:sz w:val="24"/>
          <w:szCs w:val="32"/>
          <w:highlight w:val="none"/>
        </w:rPr>
        <w:t>第二条  根据相关要求，学院对符合基本条件且申请推荐资格的学生，从思想政治品德、学业成绩、科研潜质三个方面进行综合考核，考核总成绩满分为100 分，其中思想政治品德考核成绩占总成绩的10%、学业成绩占总成绩的40%、科研潜质考核成绩占总成绩的50%。</w:t>
      </w:r>
    </w:p>
    <w:p w14:paraId="061B9519">
      <w:pPr>
        <w:spacing w:line="360" w:lineRule="auto" w:before="0" w:after="80"/>
        <w:ind w:firstLineChars="200" w:firstLine="482"/>
        <w:jc w:val="both"/>
        <w:rPr>
          <w:rFonts w:hint="eastAsia" w:ascii="仿宋_GB2312" w:eastAsia="仿宋_GB2312" w:cs="仿宋_GB2312" w:hAnsiTheme="minorEastAsia"/>
          <w:sz w:val="32"/>
          <w:szCs w:val="32"/>
          <w:highlight w:val="none"/>
        </w:rPr>
      </w:pPr>
      <w:r>
        <w:rPr>
          <w:rFonts w:hint="eastAsia" w:ascii="Times New Roman" w:eastAsia="宋体" w:cs="仿宋_GB2312" w:hAnsiTheme="minorEastAsia" w:hAnsi="Times New Roman"/>
          <w:b w:val="0"/>
          <w:sz w:val="24"/>
          <w:szCs w:val="32"/>
          <w:highlight w:val="none"/>
        </w:rPr>
        <w:t>总成绩的计算公式如下：</w:t>
      </w:r>
    </w:p>
    <w:p w14:paraId="2A9CF03D">
      <w:pPr>
        <w:spacing w:line="360" w:lineRule="auto" w:before="120" w:after="60"/>
        <w:ind w:firstLineChars="200" w:firstLine="0"/>
        <w:jc w:val="left"/>
        <w:rPr>
          <w:rFonts w:hint="eastAsia" w:ascii="仿宋_GB2312" w:eastAsia="仿宋_GB2312" w:cs="仿宋_GB2312" w:hAnsiTheme="minorEastAsia"/>
          <w:sz w:val="32"/>
          <w:szCs w:val="32"/>
          <w:highlight w:val="none"/>
        </w:rPr>
      </w:pPr>
      <w:r>
        <w:rPr>
          <w:rFonts w:hint="eastAsia" w:ascii="Times New Roman" w:eastAsia="宋体" w:cs="仿宋_GB2312" w:hAnsiTheme="minorEastAsia" w:hAnsi="Times New Roman"/>
          <w:b/>
          <w:sz w:val="24"/>
          <w:szCs w:val="32"/>
          <w:highlight w:val="none"/>
        </w:rPr>
        <w:t>Z=0.1A+0.4B+0.5C</w:t>
      </w:r>
    </w:p>
    <w:p w14:paraId="7BFD12C0">
      <w:pPr>
        <w:spacing w:line="360" w:lineRule="auto" w:before="0" w:after="80"/>
        <w:ind w:firstLineChars="200" w:firstLine="482"/>
        <w:jc w:val="both"/>
        <w:rPr>
          <w:rFonts w:hint="eastAsia" w:ascii="仿宋_GB2312" w:eastAsia="仿宋_GB2312" w:cs="仿宋_GB2312" w:hAnsiTheme="minorEastAsia"/>
          <w:sz w:val="32"/>
          <w:szCs w:val="32"/>
          <w:highlight w:val="none"/>
        </w:rPr>
      </w:pPr>
      <w:r>
        <w:rPr>
          <w:rFonts w:hint="eastAsia" w:ascii="Times New Roman" w:eastAsia="宋体" w:cs="仿宋_GB2312" w:hAnsiTheme="minorEastAsia" w:hAnsi="Times New Roman"/>
          <w:b w:val="0"/>
          <w:sz w:val="24"/>
          <w:szCs w:val="32"/>
          <w:highlight w:val="none"/>
        </w:rPr>
        <w:t>公式中：</w:t>
      </w:r>
    </w:p>
    <w:p w14:paraId="7D5D64A9">
      <w:pPr>
        <w:spacing w:line="360" w:lineRule="auto" w:before="0" w:after="80"/>
        <w:ind w:firstLineChars="200" w:firstLine="482"/>
        <w:jc w:val="both"/>
        <w:rPr>
          <w:rFonts w:hint="eastAsia" w:ascii="仿宋_GB2312" w:eastAsia="仿宋_GB2312" w:cs="仿宋_GB2312" w:hAnsiTheme="minorEastAsia"/>
          <w:sz w:val="32"/>
          <w:szCs w:val="32"/>
          <w:highlight w:val="none"/>
        </w:rPr>
      </w:pPr>
      <w:r>
        <w:rPr>
          <w:rFonts w:hint="eastAsia" w:ascii="Times New Roman" w:eastAsia="宋体" w:cs="仿宋_GB2312" w:hAnsiTheme="minorEastAsia" w:hAnsi="Times New Roman"/>
          <w:b w:val="0"/>
          <w:sz w:val="24"/>
          <w:szCs w:val="32"/>
          <w:highlight w:val="none"/>
        </w:rPr>
        <w:t>Z:总成绩。</w:t>
      </w:r>
    </w:p>
    <w:p w14:paraId="42E3543E">
      <w:pPr>
        <w:spacing w:line="360" w:lineRule="auto" w:before="0" w:after="80"/>
        <w:ind w:firstLineChars="200" w:firstLine="482"/>
        <w:jc w:val="both"/>
        <w:rPr>
          <w:rFonts w:hint="eastAsia" w:ascii="仿宋_GB2312" w:eastAsia="仿宋_GB2312" w:cs="仿宋_GB2312" w:hAnsiTheme="minorEastAsia"/>
          <w:sz w:val="32"/>
          <w:szCs w:val="32"/>
          <w:highlight w:val="none"/>
        </w:rPr>
      </w:pPr>
      <w:r>
        <w:rPr>
          <w:rFonts w:hint="eastAsia" w:ascii="Times New Roman" w:eastAsia="宋体" w:cs="仿宋_GB2312" w:hAnsiTheme="minorEastAsia" w:hAnsi="Times New Roman"/>
          <w:b w:val="0"/>
          <w:sz w:val="24"/>
          <w:szCs w:val="32"/>
          <w:highlight w:val="none"/>
        </w:rPr>
        <w:t>A：思想政治品德考核成绩，满分为100 分，</w:t>
      </w:r>
      <w:r>
        <w:rPr>
          <w:rFonts w:hint="eastAsia" w:ascii="Times New Roman" w:eastAsia="宋体" w:cs="仿宋_GB2312" w:hAnsiTheme="minorEastAsia" w:hAnsi="Times New Roman"/>
          <w:b w:val="0"/>
          <w:sz w:val="24"/>
          <w:szCs w:val="32"/>
          <w:highlight w:val="none"/>
          <w:lang w:val="en-US" w:eastAsia="zh-CN"/>
        </w:rPr>
        <w:t>按照</w:t>
      </w:r>
      <w:r>
        <w:rPr>
          <w:rFonts w:hint="eastAsia" w:ascii="Times New Roman" w:eastAsia="宋体" w:cs="仿宋_GB2312" w:hAnsiTheme="minorEastAsia" w:hAnsi="Times New Roman"/>
          <w:b w:val="0"/>
          <w:sz w:val="24"/>
          <w:szCs w:val="32"/>
          <w:highlight w:val="none"/>
        </w:rPr>
        <w:t>党委学生工作部制定</w:t>
      </w:r>
      <w:r>
        <w:rPr>
          <w:rFonts w:hint="eastAsia" w:ascii="Times New Roman" w:eastAsia="宋体" w:cs="仿宋_GB2312" w:hAnsiTheme="minorEastAsia" w:hAnsi="Times New Roman"/>
          <w:b w:val="0"/>
          <w:sz w:val="24"/>
          <w:szCs w:val="32"/>
          <w:highlight w:val="none"/>
          <w:lang w:eastAsia="zh-CN"/>
        </w:rPr>
        <w:t>的</w:t>
      </w:r>
      <w:r>
        <w:rPr>
          <w:rFonts w:hint="eastAsia" w:ascii="Times New Roman" w:eastAsia="宋体" w:cs="仿宋_GB2312" w:hAnsiTheme="minorEastAsia" w:hAnsi="Times New Roman"/>
          <w:b w:val="0"/>
          <w:sz w:val="24"/>
          <w:szCs w:val="32"/>
          <w:highlight w:val="none"/>
        </w:rPr>
        <w:t>评分实施细则</w:t>
      </w:r>
      <w:r>
        <w:rPr>
          <w:rFonts w:hint="eastAsia" w:ascii="Times New Roman" w:eastAsia="宋体" w:cs="仿宋_GB2312" w:hAnsiTheme="minorEastAsia" w:hAnsi="Times New Roman"/>
          <w:b w:val="0"/>
          <w:sz w:val="24"/>
          <w:szCs w:val="32"/>
          <w:highlight w:val="none"/>
          <w:lang w:val="en-US" w:eastAsia="zh-CN"/>
        </w:rPr>
        <w:t>执行</w:t>
      </w:r>
      <w:r>
        <w:rPr>
          <w:rFonts w:hint="eastAsia" w:ascii="Times New Roman" w:eastAsia="宋体" w:cs="仿宋_GB2312" w:hAnsiTheme="minorEastAsia" w:hAnsi="Times New Roman"/>
          <w:b w:val="0"/>
          <w:sz w:val="24"/>
          <w:szCs w:val="32"/>
          <w:highlight w:val="none"/>
        </w:rPr>
        <w:t>。</w:t>
      </w:r>
    </w:p>
    <w:p w14:paraId="1DFA08B3">
      <w:pPr>
        <w:spacing w:line="360" w:lineRule="auto" w:before="0" w:after="80"/>
        <w:ind w:firstLineChars="200" w:firstLine="482"/>
        <w:jc w:val="both"/>
        <w:rPr>
          <w:rFonts w:hint="eastAsia" w:ascii="仿宋_GB2312" w:eastAsia="仿宋_GB2312" w:cs="仿宋_GB2312" w:hAnsiTheme="minorEastAsia"/>
          <w:sz w:val="32"/>
          <w:szCs w:val="32"/>
          <w:highlight w:val="none"/>
        </w:rPr>
      </w:pPr>
      <w:r>
        <w:rPr>
          <w:rFonts w:hint="eastAsia" w:ascii="Times New Roman" w:eastAsia="宋体" w:cs="仿宋_GB2312" w:hAnsiTheme="minorEastAsia" w:hAnsi="Times New Roman"/>
          <w:b w:val="0"/>
          <w:sz w:val="24"/>
          <w:szCs w:val="32"/>
          <w:highlight w:val="none"/>
        </w:rPr>
        <w:t>B:学业成绩</w:t>
      </w:r>
      <w:r>
        <w:rPr>
          <w:rFonts w:hint="eastAsia" w:ascii="Times New Roman" w:eastAsia="宋体" w:cs="仿宋_GB2312" w:hAnsiTheme="minorEastAsia" w:hAnsi="Times New Roman"/>
          <w:b w:val="0"/>
          <w:sz w:val="24"/>
          <w:szCs w:val="32"/>
          <w:highlight w:val="none"/>
          <w:lang w:eastAsia="zh-CN"/>
        </w:rPr>
        <w:t>，</w:t>
      </w:r>
      <w:r>
        <w:rPr>
          <w:rFonts w:hint="eastAsia" w:ascii="Times New Roman" w:eastAsia="宋体" w:cs="仿宋_GB2312" w:hAnsiTheme="minorEastAsia" w:hAnsi="Times New Roman"/>
          <w:b w:val="0"/>
          <w:sz w:val="24"/>
          <w:szCs w:val="32"/>
          <w:highlight w:val="none"/>
        </w:rPr>
        <w:t>满分为100 分</w:t>
      </w:r>
      <w:r>
        <w:rPr>
          <w:rFonts w:hint="eastAsia" w:ascii="Times New Roman" w:eastAsia="宋体" w:cs="仿宋_GB2312" w:hAnsiTheme="minorEastAsia" w:hAnsi="Times New Roman"/>
          <w:b w:val="0"/>
          <w:sz w:val="24"/>
          <w:szCs w:val="32"/>
          <w:highlight w:val="none"/>
          <w:lang w:eastAsia="zh-CN"/>
        </w:rPr>
        <w:t>，</w:t>
      </w:r>
      <w:r>
        <w:rPr>
          <w:rFonts w:hint="eastAsia" w:ascii="Times New Roman" w:eastAsia="宋体" w:cs="仿宋_GB2312" w:hAnsiTheme="minorEastAsia" w:hAnsi="Times New Roman"/>
          <w:b w:val="0"/>
          <w:sz w:val="24"/>
          <w:szCs w:val="32"/>
          <w:highlight w:val="none"/>
          <w:lang w:val="en-US" w:eastAsia="zh-CN"/>
        </w:rPr>
        <w:t>按照</w:t>
      </w:r>
      <w:r>
        <w:rPr>
          <w:rFonts w:hint="eastAsia" w:ascii="Times New Roman" w:eastAsia="宋体" w:cs="仿宋_GB2312" w:hAnsiTheme="minorEastAsia" w:hAnsi="Times New Roman"/>
          <w:b w:val="0"/>
          <w:sz w:val="24"/>
          <w:szCs w:val="32"/>
          <w:highlight w:val="none"/>
        </w:rPr>
        <w:t>教务处制定</w:t>
      </w:r>
      <w:r>
        <w:rPr>
          <w:rFonts w:hint="eastAsia" w:ascii="Times New Roman" w:eastAsia="宋体" w:cs="仿宋_GB2312" w:hAnsiTheme="minorEastAsia" w:hAnsi="Times New Roman"/>
          <w:b w:val="0"/>
          <w:sz w:val="24"/>
          <w:szCs w:val="32"/>
          <w:highlight w:val="none"/>
          <w:lang w:eastAsia="zh-CN"/>
        </w:rPr>
        <w:t>的</w:t>
      </w:r>
      <w:r>
        <w:rPr>
          <w:rFonts w:hint="eastAsia" w:ascii="Times New Roman" w:eastAsia="宋体" w:cs="仿宋_GB2312" w:hAnsiTheme="minorEastAsia" w:hAnsi="Times New Roman"/>
          <w:b w:val="0"/>
          <w:sz w:val="24"/>
          <w:szCs w:val="32"/>
          <w:highlight w:val="none"/>
        </w:rPr>
        <w:t>评分实施细则</w:t>
      </w:r>
      <w:r>
        <w:rPr>
          <w:rFonts w:hint="eastAsia" w:ascii="Times New Roman" w:eastAsia="宋体" w:cs="仿宋_GB2312" w:hAnsiTheme="minorEastAsia" w:hAnsi="Times New Roman"/>
          <w:b w:val="0"/>
          <w:sz w:val="24"/>
          <w:szCs w:val="32"/>
          <w:highlight w:val="none"/>
          <w:lang w:val="en-US" w:eastAsia="zh-CN"/>
        </w:rPr>
        <w:t>执行</w:t>
      </w:r>
      <w:r>
        <w:rPr>
          <w:rFonts w:hint="eastAsia" w:ascii="Times New Roman" w:eastAsia="宋体" w:cs="仿宋_GB2312" w:hAnsiTheme="minorEastAsia" w:hAnsi="Times New Roman"/>
          <w:b w:val="0"/>
          <w:sz w:val="24"/>
          <w:szCs w:val="32"/>
          <w:highlight w:val="none"/>
        </w:rPr>
        <w:t xml:space="preserve">。 </w:t>
      </w:r>
    </w:p>
    <w:p w14:paraId="4D45C8F7">
      <w:pPr>
        <w:spacing w:line="360" w:lineRule="auto" w:before="0" w:after="80"/>
        <w:ind w:firstLineChars="200" w:firstLine="482"/>
        <w:jc w:val="both"/>
        <w:rPr>
          <w:rFonts w:hint="eastAsia" w:ascii="仿宋_GB2312" w:eastAsia="仿宋_GB2312" w:cs="仿宋_GB2312" w:hAnsiTheme="minorEastAsia"/>
          <w:sz w:val="32"/>
          <w:szCs w:val="32"/>
          <w:highlight w:val="none"/>
        </w:rPr>
      </w:pPr>
      <w:r>
        <w:rPr>
          <w:rFonts w:hint="eastAsia" w:ascii="Times New Roman" w:eastAsia="宋体" w:cs="仿宋_GB2312" w:hAnsiTheme="minorEastAsia" w:hAnsi="Times New Roman"/>
          <w:b w:val="0"/>
          <w:sz w:val="24"/>
          <w:szCs w:val="32"/>
          <w:highlight w:val="none"/>
        </w:rPr>
        <w:t>C：科研潜质考核成绩，满分为100 分</w:t>
      </w:r>
      <w:r>
        <w:rPr>
          <w:rFonts w:hint="eastAsia" w:ascii="Times New Roman" w:eastAsia="宋体" w:cs="仿宋_GB2312" w:hAnsiTheme="minorEastAsia" w:hAnsi="Times New Roman"/>
          <w:b w:val="0"/>
          <w:sz w:val="24"/>
          <w:szCs w:val="32"/>
          <w:highlight w:val="none"/>
          <w:lang w:eastAsia="zh-CN"/>
        </w:rPr>
        <w:t>。</w:t>
      </w:r>
      <w:r>
        <w:rPr>
          <w:rFonts w:ascii="Times New Roman" w:eastAsia="宋体" w:cs="仿宋_GB2312" w:hAnsiTheme="minorEastAsia" w:hAnsi="Times New Roman"/>
          <w:b w:val="0"/>
          <w:sz w:val="24"/>
          <w:szCs w:val="32"/>
          <w:highlight w:val="none"/>
        </w:rPr>
        <w:t>综合考量学生科研</w:t>
      </w:r>
      <w:r>
        <w:rPr>
          <w:rFonts w:hint="eastAsia" w:ascii="Times New Roman" w:eastAsia="宋体" w:cs="仿宋_GB2312" w:hAnsiTheme="minorEastAsia" w:hAnsi="Times New Roman"/>
          <w:b w:val="0"/>
          <w:sz w:val="24"/>
          <w:szCs w:val="32"/>
          <w:highlight w:val="none"/>
        </w:rPr>
        <w:t>基本</w:t>
      </w:r>
      <w:r>
        <w:rPr>
          <w:rFonts w:ascii="Times New Roman" w:eastAsia="宋体" w:cs="仿宋_GB2312" w:hAnsiTheme="minorEastAsia" w:hAnsi="Times New Roman"/>
          <w:b w:val="0"/>
          <w:sz w:val="24"/>
          <w:szCs w:val="32"/>
          <w:highlight w:val="none"/>
        </w:rPr>
        <w:t>素养，主要</w:t>
      </w:r>
      <w:r>
        <w:rPr>
          <w:rFonts w:hint="eastAsia" w:ascii="Times New Roman" w:eastAsia="宋体" w:cs="仿宋_GB2312" w:hAnsiTheme="minorEastAsia" w:hAnsi="Times New Roman"/>
          <w:b w:val="0"/>
          <w:sz w:val="24"/>
          <w:szCs w:val="32"/>
          <w:highlight w:val="none"/>
        </w:rPr>
        <w:t>包括科研能力评价和科研潜质加分两部分。</w:t>
      </w:r>
    </w:p>
    <w:p w14:paraId="5F5324D9">
      <w:pPr>
        <w:numPr>
          <w:ilvl w:val="0"/>
          <w:numId w:val="1"/>
        </w:numPr>
        <w:spacing w:line="360" w:lineRule="auto" w:before="0" w:after="80"/>
        <w:ind w:firstLineChars="200" w:firstLine="482"/>
        <w:jc w:val="both"/>
        <w:rPr>
          <w:rFonts w:hint="default" w:ascii="仿宋_GB2312" w:eastAsia="仿宋_GB2312" w:cs="仿宋_GB2312" w:hAnsiTheme="minorEastAsia"/>
          <w:sz w:val="32"/>
          <w:szCs w:val="32"/>
          <w:highlight w:val="none"/>
          <w:lang w:val="en-US" w:eastAsia="zh-CN"/>
        </w:rPr>
      </w:pPr>
      <w:r>
        <w:rPr>
          <w:rFonts w:hint="eastAsia" w:ascii="Times New Roman" w:eastAsia="宋体" w:cs="仿宋_GB2312" w:hAnsiTheme="minorEastAsia" w:hAnsi="Times New Roman"/>
          <w:b w:val="0"/>
          <w:sz w:val="24"/>
          <w:szCs w:val="32"/>
          <w:highlight w:val="none"/>
          <w:lang w:val="en-US" w:eastAsia="zh-CN"/>
        </w:rPr>
        <w:t>生物科学、生物技术和生物工程专业</w:t>
      </w:r>
      <w:r>
        <w:rPr>
          <w:rFonts w:hint="eastAsia" w:ascii="Times New Roman" w:eastAsia="宋体" w:cs="仿宋_GB2312" w:hAnsiTheme="minorEastAsia" w:hAnsi="Times New Roman"/>
          <w:b w:val="0"/>
          <w:sz w:val="24"/>
          <w:szCs w:val="32"/>
          <w:highlight w:val="none"/>
        </w:rPr>
        <w:t>具体考核办法如下：</w:t>
      </w:r>
    </w:p>
    <w:p w14:paraId="5BD3F9E2">
      <w:pPr>
        <w:spacing w:line="360" w:lineRule="auto" w:before="160" w:after="80"/>
        <w:ind w:firstLineChars="200" w:firstLine="0"/>
        <w:jc w:val="left"/>
        <w:rPr>
          <w:rFonts w:ascii="仿宋_GB2312" w:eastAsia="仿宋_GB2312" w:cs="仿宋_GB2312" w:hAnsiTheme="minorEastAsia"/>
          <w:sz w:val="32"/>
          <w:szCs w:val="32"/>
          <w:highlight w:val="none"/>
        </w:rPr>
      </w:pPr>
      <w:r>
        <w:rPr>
          <w:rFonts w:hint="eastAsia" w:ascii="Times New Roman" w:eastAsia="宋体" w:cs="仿宋_GB2312" w:hAnsiTheme="minorEastAsia" w:hAnsi="Times New Roman"/>
          <w:b/>
          <w:sz w:val="28"/>
          <w:szCs w:val="32"/>
          <w:highlight w:val="none"/>
          <w:lang w:eastAsia="zh-CN"/>
        </w:rPr>
        <w:t>（</w:t>
      </w:r>
      <w:r>
        <w:rPr>
          <w:rFonts w:hint="eastAsia" w:ascii="Times New Roman" w:eastAsia="宋体" w:cs="仿宋_GB2312" w:hAnsiTheme="minorEastAsia" w:hAnsi="Times New Roman"/>
          <w:b/>
          <w:sz w:val="28"/>
          <w:szCs w:val="32"/>
          <w:highlight w:val="none"/>
        </w:rPr>
        <w:t>1</w:t>
      </w:r>
      <w:r>
        <w:rPr>
          <w:rFonts w:hint="eastAsia" w:ascii="Times New Roman" w:eastAsia="宋体" w:cs="仿宋_GB2312" w:hAnsiTheme="minorEastAsia" w:hAnsi="Times New Roman"/>
          <w:b/>
          <w:sz w:val="28"/>
          <w:szCs w:val="32"/>
          <w:highlight w:val="none"/>
          <w:lang w:eastAsia="zh-CN"/>
        </w:rPr>
        <w:t>）</w:t>
      </w:r>
      <w:r>
        <w:rPr>
          <w:rFonts w:hint="eastAsia" w:ascii="Times New Roman" w:eastAsia="宋体" w:cs="仿宋_GB2312" w:hAnsiTheme="minorEastAsia" w:hAnsi="Times New Roman"/>
          <w:b/>
          <w:sz w:val="28"/>
          <w:szCs w:val="32"/>
          <w:highlight w:val="none"/>
        </w:rPr>
        <w:t>科研能力评价（50分）</w:t>
      </w:r>
    </w:p>
    <w:p w14:paraId="27C56CD1">
      <w:pPr>
        <w:spacing w:line="360" w:lineRule="auto" w:before="0" w:after="80"/>
        <w:ind w:firstLineChars="200" w:firstLine="482"/>
        <w:jc w:val="both"/>
        <w:rPr>
          <w:rFonts w:hint="eastAsia" w:ascii="仿宋_GB2312" w:eastAsia="仿宋_GB2312" w:cs="仿宋_GB2312" w:hAnsiTheme="minorEastAsia"/>
          <w:sz w:val="32"/>
          <w:szCs w:val="32"/>
          <w:highlight w:val="none"/>
        </w:rPr>
      </w:pPr>
      <w:r>
        <w:rPr>
          <w:rFonts w:hint="eastAsia" w:ascii="Times New Roman" w:eastAsia="宋体" w:cs="仿宋_GB2312" w:hAnsiTheme="minorEastAsia" w:hAnsi="Times New Roman"/>
          <w:b w:val="0"/>
          <w:sz w:val="24"/>
          <w:szCs w:val="32"/>
          <w:highlight w:val="none"/>
        </w:rPr>
        <w:t>由推免生科研能力评价小组进行评价，主要考核外语表达能力、文献阅读能力、专业知识、创新能力、科研水平等方面；</w:t>
      </w:r>
    </w:p>
    <w:p w14:paraId="1783BE0A">
      <w:pPr>
        <w:spacing w:line="360" w:lineRule="auto" w:before="160" w:after="80"/>
        <w:ind w:firstLineChars="200" w:firstLine="0"/>
        <w:jc w:val="left"/>
        <w:rPr>
          <w:rFonts w:ascii="仿宋_GB2312" w:eastAsia="仿宋_GB2312" w:cs="仿宋_GB2312" w:hAnsiTheme="minorEastAsia"/>
          <w:sz w:val="32"/>
          <w:szCs w:val="32"/>
          <w:highlight w:val="none"/>
        </w:rPr>
      </w:pPr>
      <w:r>
        <w:rPr>
          <w:rFonts w:hint="eastAsia" w:ascii="Times New Roman" w:eastAsia="宋体" w:cs="仿宋_GB2312" w:hAnsiTheme="minorEastAsia" w:hAnsi="Times New Roman"/>
          <w:b/>
          <w:color w:val="000000"/>
          <w:sz w:val="28"/>
          <w:szCs w:val="32"/>
          <w:highlight w:val="none"/>
          <w:lang w:eastAsia="zh-CN"/>
        </w:rPr>
        <w:t>（</w:t>
      </w:r>
      <w:r>
        <w:rPr>
          <w:rFonts w:hint="eastAsia" w:ascii="Times New Roman" w:eastAsia="宋体" w:cs="仿宋_GB2312" w:hAnsiTheme="minorEastAsia" w:hAnsi="Times New Roman"/>
          <w:b/>
          <w:color w:val="000000"/>
          <w:sz w:val="28"/>
          <w:szCs w:val="32"/>
          <w:highlight w:val="none"/>
        </w:rPr>
        <w:t>2</w:t>
      </w:r>
      <w:r>
        <w:rPr>
          <w:rFonts w:hint="eastAsia" w:ascii="Times New Roman" w:eastAsia="宋体" w:cs="仿宋_GB2312" w:hAnsiTheme="minorEastAsia" w:hAnsi="Times New Roman"/>
          <w:b/>
          <w:color w:val="000000"/>
          <w:sz w:val="28"/>
          <w:szCs w:val="32"/>
          <w:highlight w:val="none"/>
          <w:lang w:eastAsia="zh-CN"/>
        </w:rPr>
        <w:t>）</w:t>
      </w:r>
      <w:r>
        <w:rPr>
          <w:rFonts w:hint="eastAsia" w:ascii="Times New Roman" w:eastAsia="宋体" w:cs="仿宋_GB2312" w:hAnsiTheme="minorEastAsia" w:hAnsi="Times New Roman"/>
          <w:b/>
          <w:sz w:val="28"/>
          <w:szCs w:val="32"/>
          <w:highlight w:val="none"/>
        </w:rPr>
        <w:t>科研潜质加分（50分）</w:t>
      </w:r>
    </w:p>
    <w:p w14:paraId="1A3CA66C">
      <w:pPr>
        <w:spacing w:line="360" w:lineRule="auto" w:before="0" w:after="80"/>
        <w:ind w:firstLineChars="200" w:firstLine="482"/>
        <w:jc w:val="both"/>
        <w:rPr>
          <w:rFonts w:ascii="仿宋_GB2312" w:eastAsia="仿宋_GB2312" w:cs="仿宋_GB2312" w:hAnsiTheme="minorEastAsia"/>
          <w:sz w:val="32"/>
          <w:szCs w:val="32"/>
          <w:highlight w:val="none"/>
        </w:rPr>
      </w:pPr>
      <w:r>
        <w:rPr>
          <w:rFonts w:ascii="Times New Roman" w:eastAsia="宋体" w:cs="仿宋_GB2312" w:hAnsiTheme="minorEastAsia" w:hAnsi="Times New Roman"/>
          <w:b w:val="0"/>
          <w:sz w:val="24"/>
          <w:szCs w:val="32"/>
          <w:highlight w:val="none"/>
        </w:rPr>
        <w:t>综合考量学生科研</w:t>
      </w:r>
      <w:r>
        <w:rPr>
          <w:rFonts w:hint="eastAsia" w:ascii="Times New Roman" w:eastAsia="宋体" w:cs="仿宋_GB2312" w:hAnsiTheme="minorEastAsia" w:hAnsi="Times New Roman"/>
          <w:b w:val="0"/>
          <w:sz w:val="24"/>
          <w:szCs w:val="32"/>
          <w:highlight w:val="none"/>
        </w:rPr>
        <w:t>基本</w:t>
      </w:r>
      <w:r>
        <w:rPr>
          <w:rFonts w:ascii="Times New Roman" w:eastAsia="宋体" w:cs="仿宋_GB2312" w:hAnsiTheme="minorEastAsia" w:hAnsi="Times New Roman"/>
          <w:b w:val="0"/>
          <w:sz w:val="24"/>
          <w:szCs w:val="32"/>
          <w:highlight w:val="none"/>
        </w:rPr>
        <w:t>素养，主要包括</w:t>
      </w:r>
      <w:r>
        <w:rPr>
          <w:rFonts w:hint="eastAsia" w:ascii="Times New Roman" w:eastAsia="宋体" w:cs="仿宋_GB2312" w:hAnsiTheme="minorEastAsia" w:hAnsi="Times New Roman"/>
          <w:b w:val="0"/>
          <w:sz w:val="24"/>
          <w:szCs w:val="32"/>
          <w:highlight w:val="none"/>
        </w:rPr>
        <w:t>国际组织实习、志愿服务、应征入伍、</w:t>
      </w:r>
      <w:r>
        <w:rPr>
          <w:rFonts w:ascii="Times New Roman" w:eastAsia="宋体" w:cs="仿宋_GB2312" w:hAnsiTheme="minorEastAsia" w:hAnsi="Times New Roman"/>
          <w:b w:val="0"/>
          <w:sz w:val="24"/>
          <w:szCs w:val="32"/>
          <w:highlight w:val="none"/>
        </w:rPr>
        <w:t>外语水平、</w:t>
      </w:r>
      <w:r>
        <w:rPr>
          <w:rFonts w:hint="eastAsia" w:ascii="Times New Roman" w:eastAsia="宋体" w:cs="仿宋_GB2312" w:hAnsiTheme="minorEastAsia" w:hAnsi="Times New Roman"/>
          <w:b w:val="0"/>
          <w:sz w:val="24"/>
          <w:szCs w:val="32"/>
          <w:highlight w:val="none"/>
        </w:rPr>
        <w:t>科技竞赛、学术研究以及发明及专利</w:t>
      </w:r>
      <w:r>
        <w:rPr>
          <w:rFonts w:ascii="Times New Roman" w:eastAsia="宋体" w:cs="仿宋_GB2312" w:hAnsiTheme="minorEastAsia" w:hAnsi="Times New Roman"/>
          <w:b w:val="0"/>
          <w:sz w:val="24"/>
          <w:szCs w:val="32"/>
          <w:highlight w:val="none"/>
        </w:rPr>
        <w:t>，具体加分内容见附件</w:t>
      </w:r>
      <w:r>
        <w:rPr>
          <w:rFonts w:hint="eastAsia" w:ascii="Times New Roman" w:eastAsia="宋体" w:cs="仿宋_GB2312" w:hAnsiTheme="minorEastAsia" w:hAnsi="Times New Roman"/>
          <w:b w:val="0"/>
          <w:sz w:val="24"/>
          <w:szCs w:val="32"/>
          <w:highlight w:val="none"/>
          <w:lang w:val="en-US" w:eastAsia="zh-CN"/>
        </w:rPr>
        <w:t>1</w:t>
      </w:r>
      <w:r>
        <w:rPr>
          <w:rFonts w:ascii="Times New Roman" w:eastAsia="宋体" w:cs="仿宋_GB2312" w:hAnsiTheme="minorEastAsia" w:hAnsi="Times New Roman"/>
          <w:b w:val="0"/>
          <w:sz w:val="24"/>
          <w:szCs w:val="32"/>
          <w:highlight w:val="none"/>
        </w:rPr>
        <w:t>。</w:t>
      </w:r>
    </w:p>
    <w:p w14:paraId="1BAC0196">
      <w:pPr>
        <w:numPr>
          <w:ilvl w:val="0"/>
          <w:numId w:val="2"/>
        </w:numPr>
        <w:spacing w:line="360" w:lineRule="auto" w:before="0" w:after="80"/>
        <w:ind w:firstLineChars="200" w:firstLine="482"/>
        <w:jc w:val="both"/>
        <w:rPr>
          <w:rFonts w:hint="eastAsia" w:ascii="仿宋_GB2312" w:eastAsia="仿宋_GB2312" w:cs="仿宋_GB2312" w:hAnsiTheme="minorEastAsia"/>
          <w:sz w:val="32"/>
          <w:szCs w:val="32"/>
          <w:highlight w:val="none"/>
        </w:rPr>
      </w:pPr>
      <w:r>
        <w:rPr>
          <w:rFonts w:hint="eastAsia" w:ascii="Times New Roman" w:eastAsia="宋体" w:cs="仿宋_GB2312" w:hAnsiTheme="minorEastAsia" w:hAnsi="Times New Roman"/>
          <w:b w:val="0"/>
          <w:sz w:val="24"/>
          <w:szCs w:val="32"/>
          <w:highlight w:val="none"/>
          <w:lang w:val="en-US" w:eastAsia="zh-CN"/>
        </w:rPr>
        <w:t>生物科学基地班</w:t>
      </w:r>
      <w:r>
        <w:rPr>
          <w:rFonts w:hint="eastAsia" w:ascii="Times New Roman" w:eastAsia="宋体" w:cs="仿宋_GB2312" w:hAnsiTheme="minorEastAsia" w:hAnsi="Times New Roman"/>
          <w:b w:val="0"/>
          <w:sz w:val="24"/>
          <w:szCs w:val="32"/>
          <w:highlight w:val="none"/>
        </w:rPr>
        <w:t>具体考核办法如下：</w:t>
      </w:r>
    </w:p>
    <w:p w14:paraId="7BCA760D">
      <w:pPr>
        <w:spacing w:line="360" w:lineRule="auto" w:before="0" w:after="80"/>
        <w:ind w:firstLineChars="200" w:firstLine="482"/>
        <w:jc w:val="both"/>
        <w:rPr>
          <w:rFonts w:hint="eastAsia" w:ascii="仿宋_GB2312" w:eastAsia="仿宋_GB2312" w:cs="仿宋_GB2312" w:hAnsiTheme="minorEastAsia"/>
          <w:sz w:val="32"/>
          <w:szCs w:val="32"/>
          <w:highlight w:val="none"/>
        </w:rPr>
      </w:pPr>
      <w:r>
        <w:rPr>
          <w:rFonts w:hint="eastAsia" w:ascii="Times New Roman" w:eastAsia="宋体" w:cs="仿宋_GB2312" w:hAnsiTheme="minorEastAsia" w:hAnsi="Times New Roman"/>
          <w:b w:val="0"/>
          <w:sz w:val="24"/>
          <w:szCs w:val="32"/>
          <w:highlight w:val="none"/>
          <w:lang w:val="en-US" w:eastAsia="zh-CN"/>
        </w:rPr>
        <w:t xml:space="preserve">科研潜质考核=科研能力评价×60%+科研潜质加分。 </w:t>
      </w:r>
    </w:p>
    <w:p w14:paraId="5004D9AE">
      <w:pPr>
        <w:spacing w:line="360" w:lineRule="auto" w:before="160" w:after="80"/>
        <w:ind w:firstLineChars="200" w:firstLine="0"/>
        <w:jc w:val="left"/>
        <w:rPr>
          <w:rFonts w:hint="eastAsia" w:ascii="仿宋_GB2312" w:eastAsia="仿宋_GB2312" w:cs="仿宋_GB2312" w:hAnsiTheme="minorEastAsia"/>
          <w:sz w:val="32"/>
          <w:szCs w:val="32"/>
          <w:highlight w:val="none"/>
        </w:rPr>
      </w:pPr>
      <w:r>
        <w:rPr>
          <w:rFonts w:hint="eastAsia" w:ascii="Times New Roman" w:eastAsia="宋体" w:cs="仿宋_GB2312" w:hAnsiTheme="minorEastAsia" w:hAnsi="Times New Roman"/>
          <w:b/>
          <w:sz w:val="28"/>
          <w:szCs w:val="32"/>
          <w:highlight w:val="none"/>
          <w:lang w:val="en-US" w:eastAsia="zh-CN"/>
        </w:rPr>
        <w:t xml:space="preserve">（1）科研能力评价（100 分） </w:t>
      </w:r>
    </w:p>
    <w:p w14:paraId="692663C0">
      <w:pPr>
        <w:spacing w:line="360" w:lineRule="auto" w:before="0" w:after="80"/>
        <w:ind w:firstLineChars="200" w:firstLine="482"/>
        <w:jc w:val="both"/>
        <w:rPr>
          <w:rFonts w:hint="eastAsia" w:ascii="仿宋_GB2312" w:eastAsia="仿宋_GB2312" w:cs="仿宋_GB2312" w:hAnsiTheme="minorEastAsia"/>
          <w:sz w:val="32"/>
          <w:szCs w:val="32"/>
          <w:highlight w:val="none"/>
        </w:rPr>
      </w:pPr>
      <w:r>
        <w:rPr>
          <w:rFonts w:hint="eastAsia" w:ascii="Times New Roman" w:eastAsia="宋体" w:cs="仿宋_GB2312" w:hAnsiTheme="minorEastAsia" w:hAnsi="Times New Roman"/>
          <w:b w:val="0"/>
          <w:sz w:val="24"/>
          <w:szCs w:val="32"/>
          <w:highlight w:val="none"/>
          <w:lang w:val="en-US" w:eastAsia="zh-CN"/>
        </w:rPr>
        <w:t xml:space="preserve">科研能力评价主要考核外语表达能力、专业知识、创新能力、科研水平等方面。 </w:t>
      </w:r>
    </w:p>
    <w:p w14:paraId="45126876">
      <w:pPr>
        <w:spacing w:line="360" w:lineRule="auto" w:before="160" w:after="80"/>
        <w:ind w:firstLineChars="200" w:firstLine="0"/>
        <w:jc w:val="left"/>
        <w:rPr>
          <w:rFonts w:hint="eastAsia" w:ascii="仿宋_GB2312" w:eastAsia="仿宋_GB2312" w:cs="仿宋_GB2312" w:hAnsiTheme="minorEastAsia"/>
          <w:sz w:val="32"/>
          <w:szCs w:val="32"/>
          <w:highlight w:val="none"/>
        </w:rPr>
      </w:pPr>
      <w:r>
        <w:rPr>
          <w:rFonts w:hint="eastAsia" w:ascii="Times New Roman" w:eastAsia="宋体" w:cs="仿宋_GB2312" w:hAnsiTheme="minorEastAsia" w:hAnsi="Times New Roman"/>
          <w:b/>
          <w:sz w:val="28"/>
          <w:szCs w:val="32"/>
          <w:highlight w:val="none"/>
          <w:lang w:val="en-US" w:eastAsia="zh-CN"/>
        </w:rPr>
        <w:t xml:space="preserve">（2）科研潜质加分（40 分） </w:t>
      </w:r>
    </w:p>
    <w:p w14:paraId="5812BB38">
      <w:pPr>
        <w:spacing w:line="360" w:lineRule="auto" w:before="0" w:after="80"/>
        <w:ind w:firstLineChars="200" w:firstLine="482"/>
        <w:jc w:val="both"/>
        <w:rPr>
          <w:highlight w:val="none"/>
        </w:rPr>
      </w:pPr>
      <w:r>
        <w:rPr>
          <w:rFonts w:hint="eastAsia" w:ascii="Times New Roman" w:eastAsia="宋体" w:cs="仿宋_GB2312" w:hAnsiTheme="minorEastAsia" w:hAnsi="Times New Roman"/>
          <w:b w:val="0"/>
          <w:sz w:val="24"/>
          <w:szCs w:val="32"/>
          <w:highlight w:val="none"/>
          <w:lang w:val="en-US" w:eastAsia="zh-CN"/>
        </w:rPr>
        <w:t>科研潜质评价综合考量学生科研基本素养，主要包括科技竞赛、学术研究、科研训练、外语水平、国际交流等方面，</w:t>
      </w:r>
      <w:r>
        <w:rPr>
          <w:rFonts w:hint="eastAsia" w:ascii="Times New Roman" w:eastAsia="宋体" w:cs="仿宋_GB2312" w:hAnsiTheme="minorEastAsia" w:hAnsi="Times New Roman"/>
          <w:b w:val="0"/>
          <w:sz w:val="24"/>
          <w:szCs w:val="32"/>
          <w:highlight w:val="none"/>
        </w:rPr>
        <w:t>具体加分内容见附件</w:t>
      </w:r>
      <w:r>
        <w:rPr>
          <w:rFonts w:hint="eastAsia" w:ascii="Times New Roman" w:eastAsia="宋体" w:cs="仿宋_GB2312" w:hAnsiTheme="minorEastAsia" w:hAnsi="Times New Roman"/>
          <w:b w:val="0"/>
          <w:sz w:val="24"/>
          <w:szCs w:val="32"/>
          <w:highlight w:val="none"/>
          <w:lang w:val="en-US" w:eastAsia="zh-CN"/>
        </w:rPr>
        <w:t>2</w:t>
      </w:r>
      <w:r>
        <w:rPr>
          <w:rFonts w:hint="eastAsia" w:ascii="Times New Roman" w:eastAsia="宋体" w:cs="仿宋_GB2312" w:hAnsiTheme="minorEastAsia" w:hAnsi="Times New Roman"/>
          <w:b w:val="0"/>
          <w:sz w:val="24"/>
          <w:szCs w:val="32"/>
          <w:highlight w:val="none"/>
        </w:rPr>
        <w:t>。</w:t>
      </w:r>
    </w:p>
    <w:p w14:paraId="44688011">
      <w:pPr>
        <w:spacing w:line="360" w:lineRule="auto" w:before="0" w:after="80"/>
        <w:ind w:firstLineChars="200" w:firstLine="482"/>
        <w:jc w:val="both"/>
        <w:rPr>
          <w:rFonts w:ascii="仿宋" w:hAnsi="仿宋" w:eastAsia="仿宋" w:cs="仿宋"/>
          <w:color w:val="000000"/>
          <w:sz w:val="32"/>
          <w:szCs w:val="32"/>
          <w:highlight w:val="none"/>
        </w:rPr>
      </w:pPr>
      <w:r>
        <w:rPr>
          <w:rFonts w:hint="eastAsia" w:ascii="Times New Roman" w:eastAsia="宋体" w:cs="仿宋_GB2312" w:hAnsiTheme="minorEastAsia" w:hAnsi="Times New Roman"/>
          <w:b w:val="0"/>
          <w:sz w:val="24"/>
          <w:szCs w:val="32"/>
          <w:highlight w:val="none"/>
        </w:rPr>
        <w:t>第</w:t>
      </w:r>
      <w:r>
        <w:rPr>
          <w:rFonts w:hint="eastAsia" w:ascii="Times New Roman" w:eastAsia="宋体" w:cs="仿宋_GB2312" w:hAnsiTheme="minorEastAsia" w:hAnsi="Times New Roman"/>
          <w:b w:val="0"/>
          <w:sz w:val="24"/>
          <w:szCs w:val="32"/>
          <w:highlight w:val="none"/>
          <w:lang w:val="en-US" w:eastAsia="zh-CN"/>
        </w:rPr>
        <w:t>三</w:t>
      </w:r>
      <w:r>
        <w:rPr>
          <w:rFonts w:hint="eastAsia" w:ascii="Times New Roman" w:eastAsia="宋体" w:cs="仿宋_GB2312" w:hAnsiTheme="minorEastAsia" w:hAnsi="Times New Roman"/>
          <w:b w:val="0"/>
          <w:sz w:val="24"/>
          <w:szCs w:val="32"/>
          <w:highlight w:val="none"/>
        </w:rPr>
        <w:t>条  推免生遴选工作小组按照总成绩由高到低排名，并依据推荐指标数</w:t>
      </w:r>
      <w:r>
        <w:rPr>
          <w:rFonts w:hint="eastAsia" w:ascii="Times New Roman" w:hAnsi="Times New Roman" w:eastAsia="宋体" w:cs="仿宋"/>
          <w:b w:val="0"/>
          <w:color w:val="000000"/>
          <w:sz w:val="24"/>
          <w:szCs w:val="32"/>
          <w:highlight w:val="none"/>
        </w:rPr>
        <w:t>确定推免生初选名单。初选名单需在本学院官方网站上公示不少于3个工作日。公示无异议后，将初选名单连同有关材料报送研究生院。</w:t>
      </w:r>
    </w:p>
    <w:p w14:paraId="650465A7">
      <w:pPr>
        <w:spacing w:line="600" w:lineRule="exact"/>
        <w:jc w:val="center"/>
        <w:rPr>
          <w:rFonts w:ascii="黑体" w:hAnsi="黑体" w:eastAsia="黑体" w:cs="仿宋_GB2312"/>
          <w:sz w:val="32"/>
          <w:szCs w:val="32"/>
          <w:highlight w:val="none"/>
        </w:rPr>
      </w:pPr>
    </w:p>
    <w:p w14:paraId="50F26AA5">
      <w:pPr>
        <w:spacing w:line="360" w:lineRule="auto" w:before="160" w:after="80"/>
        <w:ind w:firstLine="0"/>
        <w:jc w:val="left"/>
        <w:rPr>
          <w:rFonts w:ascii="仿宋" w:hAnsi="仿宋" w:eastAsia="仿宋" w:cs="仿宋"/>
          <w:color w:val="000000"/>
          <w:sz w:val="32"/>
          <w:szCs w:val="32"/>
          <w:highlight w:val="none"/>
        </w:rPr>
      </w:pPr>
      <w:r>
        <w:rPr>
          <w:rFonts w:hint="eastAsia" w:ascii="Times New Roman" w:hAnsi="Times New Roman" w:eastAsia="宋体" w:cs="仿宋_GB2312"/>
          <w:b/>
          <w:sz w:val="28"/>
          <w:szCs w:val="32"/>
          <w:highlight w:val="none"/>
        </w:rPr>
        <w:t>第三章 其他</w:t>
      </w:r>
    </w:p>
    <w:p w14:paraId="09BF5C62">
      <w:pPr>
        <w:adjustRightInd w:val="0"/>
        <w:spacing w:line="360" w:lineRule="auto" w:before="0" w:after="80"/>
        <w:ind w:firstLineChars="200" w:firstLine="482"/>
        <w:jc w:val="both"/>
        <w:rPr>
          <w:rFonts w:ascii="仿宋_GB2312" w:eastAsia="仿宋_GB2312" w:cs="仿宋_GB2312" w:hAnsiTheme="minorEastAsia"/>
          <w:sz w:val="32"/>
          <w:szCs w:val="32"/>
          <w:highlight w:val="none"/>
        </w:rPr>
      </w:pPr>
      <w:r>
        <w:rPr>
          <w:rFonts w:hint="eastAsia" w:ascii="Times New Roman" w:eastAsia="宋体" w:cs="仿宋_GB2312" w:hAnsiTheme="minorEastAsia" w:hAnsi="Times New Roman"/>
          <w:b w:val="0"/>
          <w:sz w:val="24"/>
          <w:szCs w:val="32"/>
          <w:highlight w:val="none"/>
        </w:rPr>
        <w:t>第</w:t>
      </w:r>
      <w:r>
        <w:rPr>
          <w:rFonts w:hint="eastAsia" w:ascii="Times New Roman" w:eastAsia="宋体" w:cs="仿宋_GB2312" w:hAnsiTheme="minorEastAsia" w:hAnsi="Times New Roman"/>
          <w:b w:val="0"/>
          <w:sz w:val="24"/>
          <w:szCs w:val="32"/>
          <w:highlight w:val="none"/>
          <w:lang w:val="en-US" w:eastAsia="zh-CN"/>
        </w:rPr>
        <w:t>四</w:t>
      </w:r>
      <w:r>
        <w:rPr>
          <w:rFonts w:hint="eastAsia" w:ascii="Times New Roman" w:eastAsia="宋体" w:cs="仿宋_GB2312" w:hAnsiTheme="minorEastAsia" w:hAnsi="Times New Roman"/>
          <w:b w:val="0"/>
          <w:sz w:val="24"/>
          <w:szCs w:val="32"/>
          <w:highlight w:val="none"/>
        </w:rPr>
        <w:t>条  本细则未列事宜，由学院推免生遴选工作小组予以认定和解释。</w:t>
      </w:r>
    </w:p>
    <w:p w14:paraId="37543A69">
      <w:pPr>
        <w:spacing w:line="360" w:lineRule="auto" w:before="0" w:after="80"/>
        <w:ind w:firstLineChars="200" w:firstLine="482"/>
        <w:jc w:val="both"/>
        <w:rPr>
          <w:rFonts w:ascii="仿宋_GB2312" w:eastAsia="仿宋_GB2312" w:cs="仿宋_GB2312" w:hAnsiTheme="minorEastAsia"/>
          <w:sz w:val="32"/>
          <w:szCs w:val="32"/>
          <w:highlight w:val="none"/>
        </w:rPr>
      </w:pPr>
      <w:r>
        <w:rPr>
          <w:rFonts w:hint="eastAsia" w:ascii="Times New Roman" w:eastAsia="宋体" w:cs="仿宋_GB2312" w:hAnsiTheme="minorEastAsia" w:hAnsi="Times New Roman"/>
          <w:b w:val="0"/>
          <w:sz w:val="24"/>
          <w:szCs w:val="32"/>
          <w:highlight w:val="none"/>
        </w:rPr>
        <w:t>第</w:t>
      </w:r>
      <w:r>
        <w:rPr>
          <w:rFonts w:hint="eastAsia" w:ascii="Times New Roman" w:eastAsia="宋体" w:cs="仿宋_GB2312" w:hAnsiTheme="minorEastAsia" w:hAnsi="Times New Roman"/>
          <w:b w:val="0"/>
          <w:sz w:val="24"/>
          <w:szCs w:val="32"/>
          <w:highlight w:val="none"/>
          <w:lang w:val="en-US" w:eastAsia="zh-CN"/>
        </w:rPr>
        <w:t>五</w:t>
      </w:r>
      <w:r>
        <w:rPr>
          <w:rFonts w:hint="eastAsia" w:ascii="Times New Roman" w:eastAsia="宋体" w:cs="仿宋_GB2312" w:hAnsiTheme="minorEastAsia" w:hAnsi="Times New Roman"/>
          <w:b w:val="0"/>
          <w:sz w:val="24"/>
          <w:szCs w:val="32"/>
          <w:highlight w:val="none"/>
        </w:rPr>
        <w:t>条  本细则自20</w:t>
      </w:r>
      <w:r>
        <w:rPr>
          <w:rFonts w:hint="eastAsia" w:ascii="Times New Roman" w:eastAsia="宋体" w:cs="仿宋_GB2312" w:hAnsiTheme="minorEastAsia" w:hAnsi="Times New Roman"/>
          <w:b w:val="0"/>
          <w:sz w:val="24"/>
          <w:szCs w:val="32"/>
          <w:highlight w:val="none"/>
          <w:lang w:val="en-US" w:eastAsia="zh-CN"/>
        </w:rPr>
        <w:t>21</w:t>
      </w:r>
      <w:r>
        <w:rPr>
          <w:rFonts w:hint="eastAsia" w:ascii="Times New Roman" w:eastAsia="宋体" w:cs="仿宋_GB2312" w:hAnsiTheme="minorEastAsia" w:hAnsi="Times New Roman"/>
          <w:b w:val="0"/>
          <w:sz w:val="24"/>
          <w:szCs w:val="32"/>
          <w:highlight w:val="none"/>
        </w:rPr>
        <w:t>级本科生起实施。</w:t>
      </w:r>
    </w:p>
    <w:p w14:paraId="4DE33361">
      <w:pPr>
        <w:spacing w:line="600" w:lineRule="exact"/>
        <w:ind w:firstLine="640" w:firstLineChars="200"/>
        <w:rPr>
          <w:rFonts w:ascii="仿宋_GB2312" w:eastAsia="仿宋_GB2312" w:cs="仿宋_GB2312" w:hAnsiTheme="minorEastAsia"/>
          <w:sz w:val="32"/>
          <w:szCs w:val="32"/>
          <w:highlight w:val="none"/>
        </w:rPr>
      </w:pPr>
    </w:p>
    <w:p w14:paraId="4C02425C">
      <w:pPr>
        <w:spacing w:line="600" w:lineRule="exact"/>
        <w:ind w:firstLine="640" w:firstLineChars="200"/>
        <w:rPr>
          <w:rFonts w:ascii="仿宋_GB2312" w:eastAsia="仿宋_GB2312" w:cs="仿宋_GB2312" w:hAnsiTheme="minorEastAsia"/>
          <w:sz w:val="32"/>
          <w:szCs w:val="32"/>
          <w:highlight w:val="none"/>
        </w:rPr>
      </w:pPr>
    </w:p>
    <w:p w14:paraId="76FAC3A5">
      <w:pPr>
        <w:spacing w:line="360" w:lineRule="auto" w:before="120" w:after="60"/>
        <w:ind w:firstLineChars="1600" w:firstLine="0"/>
        <w:jc w:val="left"/>
        <w:rPr>
          <w:rFonts w:ascii="仿宋_GB2312" w:eastAsia="仿宋_GB2312" w:cs="仿宋_GB2312" w:hAnsiTheme="minorEastAsia"/>
          <w:sz w:val="32"/>
          <w:szCs w:val="32"/>
          <w:highlight w:val="none"/>
        </w:rPr>
      </w:pPr>
      <w:r>
        <w:rPr>
          <w:rFonts w:hint="eastAsia" w:ascii="Times New Roman" w:eastAsia="宋体" w:cs="仿宋_GB2312" w:hAnsiTheme="minorEastAsia" w:hAnsi="Times New Roman"/>
          <w:b/>
          <w:sz w:val="24"/>
          <w:szCs w:val="32"/>
          <w:highlight w:val="none"/>
        </w:rPr>
        <w:t>生命科学学院</w:t>
      </w:r>
    </w:p>
    <w:p w14:paraId="585825C5">
      <w:pPr>
        <w:spacing w:line="360" w:lineRule="auto" w:before="120" w:after="60"/>
        <w:ind w:firstLineChars="1500" w:firstLine="0"/>
        <w:jc w:val="left"/>
        <w:rPr>
          <w:rFonts w:ascii="仿宋_GB2312" w:eastAsia="仿宋_GB2312" w:cs="仿宋_GB2312" w:hAnsiTheme="minorEastAsia"/>
          <w:sz w:val="32"/>
          <w:szCs w:val="32"/>
          <w:highlight w:val="none"/>
        </w:rPr>
      </w:pPr>
      <w:r>
        <w:rPr>
          <w:rFonts w:ascii="Times New Roman" w:eastAsia="宋体" w:cs="仿宋_GB2312" w:hAnsiTheme="minorEastAsia" w:hAnsi="Times New Roman"/>
          <w:b/>
          <w:sz w:val="24"/>
          <w:szCs w:val="32"/>
          <w:highlight w:val="none"/>
        </w:rPr>
        <w:t>20</w:t>
      </w:r>
      <w:r>
        <w:rPr>
          <w:rFonts w:hint="eastAsia" w:ascii="Times New Roman" w:eastAsia="宋体" w:cs="仿宋_GB2312" w:hAnsiTheme="minorEastAsia" w:hAnsi="Times New Roman"/>
          <w:b/>
          <w:sz w:val="24"/>
          <w:szCs w:val="32"/>
          <w:highlight w:val="none"/>
          <w:lang w:val="en-US" w:eastAsia="zh-CN"/>
        </w:rPr>
        <w:t>24</w:t>
      </w:r>
      <w:r>
        <w:rPr>
          <w:rFonts w:ascii="Times New Roman" w:eastAsia="宋体" w:cs="仿宋_GB2312" w:hAnsiTheme="minorEastAsia" w:hAnsi="Times New Roman"/>
          <w:b/>
          <w:sz w:val="24"/>
          <w:szCs w:val="32"/>
          <w:highlight w:val="none"/>
        </w:rPr>
        <w:t>年</w:t>
      </w:r>
      <w:r>
        <w:rPr>
          <w:rFonts w:hint="eastAsia" w:ascii="Times New Roman" w:eastAsia="宋体" w:cs="仿宋_GB2312" w:hAnsiTheme="minorEastAsia" w:hAnsi="Times New Roman"/>
          <w:b/>
          <w:sz w:val="24"/>
          <w:szCs w:val="32"/>
          <w:highlight w:val="none"/>
        </w:rPr>
        <w:t>9</w:t>
      </w:r>
      <w:r>
        <w:rPr>
          <w:rFonts w:ascii="Times New Roman" w:eastAsia="宋体" w:cs="仿宋_GB2312" w:hAnsiTheme="minorEastAsia" w:hAnsi="Times New Roman"/>
          <w:b/>
          <w:sz w:val="24"/>
          <w:szCs w:val="32"/>
          <w:highlight w:val="none"/>
        </w:rPr>
        <w:t>月</w:t>
      </w:r>
      <w:r>
        <w:rPr>
          <w:rFonts w:hint="eastAsia" w:ascii="Times New Roman" w:eastAsia="宋体" w:cs="仿宋_GB2312" w:hAnsiTheme="minorEastAsia" w:hAnsi="Times New Roman"/>
          <w:b/>
          <w:sz w:val="24"/>
          <w:szCs w:val="32"/>
          <w:highlight w:val="none"/>
          <w:lang w:val="en-US" w:eastAsia="zh-CN"/>
        </w:rPr>
        <w:t>9</w:t>
      </w:r>
      <w:r>
        <w:rPr>
          <w:rFonts w:ascii="Times New Roman" w:eastAsia="宋体" w:cs="仿宋_GB2312" w:hAnsiTheme="minorEastAsia" w:hAnsi="Times New Roman"/>
          <w:b/>
          <w:sz w:val="24"/>
          <w:szCs w:val="32"/>
          <w:highlight w:val="none"/>
        </w:rPr>
        <w:t>日</w:t>
      </w:r>
    </w:p>
    <w:p w14:paraId="712AB065">
      <w:pPr>
        <w:pageBreakBefore/>
        <w:widowControl/>
        <w:snapToGrid w:val="0"/>
        <w:spacing w:before="0" w:beforeLines="50" w:after="80" w:afterLines="50" w:line="360" w:lineRule="auto"/>
        <w:ind w:firstLine="482"/>
        <w:jc w:val="both"/>
        <w:rPr>
          <w:rFonts w:ascii="黑体" w:hAnsi="黑体" w:eastAsia="黑体" w:cs="黑体"/>
          <w:sz w:val="32"/>
          <w:szCs w:val="32"/>
          <w:highlight w:val="none"/>
        </w:rPr>
      </w:pPr>
      <w:r>
        <w:rPr>
          <w:rFonts w:hint="eastAsia" w:ascii="Times New Roman" w:hAnsi="Times New Roman" w:eastAsia="宋体" w:cs="黑体"/>
          <w:b w:val="0"/>
          <w:sz w:val="24"/>
          <w:szCs w:val="32"/>
          <w:highlight w:val="none"/>
        </w:rPr>
        <w:t>附件</w:t>
      </w:r>
      <w:r>
        <w:rPr>
          <w:rFonts w:hint="eastAsia" w:ascii="Times New Roman" w:hAnsi="Times New Roman" w:eastAsia="宋体" w:cs="黑体"/>
          <w:b w:val="0"/>
          <w:sz w:val="24"/>
          <w:szCs w:val="32"/>
          <w:highlight w:val="none"/>
          <w:lang w:val="en-US" w:eastAsia="zh-CN"/>
        </w:rPr>
        <w:t>1</w:t>
      </w:r>
      <w:r>
        <w:rPr>
          <w:rFonts w:hint="eastAsia" w:ascii="Times New Roman" w:hAnsi="Times New Roman" w:eastAsia="宋体" w:cs="黑体"/>
          <w:b w:val="0"/>
          <w:sz w:val="24"/>
          <w:szCs w:val="32"/>
          <w:highlight w:val="none"/>
        </w:rPr>
        <w:t>：</w:t>
      </w:r>
    </w:p>
    <w:p w14:paraId="0D4F0924">
      <w:pPr>
        <w:widowControl/>
        <w:snapToGrid w:val="0"/>
        <w:spacing w:before="120" w:beforeLines="50" w:after="60" w:afterLines="50" w:line="360" w:lineRule="auto"/>
        <w:ind w:firstLineChars="200" w:firstLine="0"/>
        <w:jc w:val="left"/>
        <w:rPr>
          <w:rFonts w:ascii="仿宋" w:hAnsi="仿宋" w:eastAsia="仿宋" w:cs="仿宋"/>
          <w:b/>
          <w:bCs/>
          <w:sz w:val="32"/>
          <w:szCs w:val="32"/>
          <w:highlight w:val="none"/>
        </w:rPr>
      </w:pPr>
      <w:r>
        <w:rPr>
          <w:rFonts w:hint="eastAsia" w:ascii="Times New Roman" w:eastAsia="宋体" w:cs="仿宋_GB2312" w:hAnsiTheme="minorEastAsia" w:hAnsi="Times New Roman"/>
          <w:b/>
          <w:bCs/>
          <w:sz w:val="24"/>
          <w:szCs w:val="32"/>
          <w:highlight w:val="none"/>
          <w:lang w:val="en-US" w:eastAsia="zh-CN"/>
        </w:rPr>
        <w:t>生物科学、生物技术、生物工程专业</w:t>
      </w:r>
      <w:r>
        <w:rPr>
          <w:rFonts w:hint="eastAsia" w:ascii="Times New Roman" w:hAnsi="Times New Roman" w:eastAsia="宋体" w:cs="仿宋"/>
          <w:b/>
          <w:bCs/>
          <w:sz w:val="24"/>
          <w:szCs w:val="32"/>
          <w:highlight w:val="none"/>
        </w:rPr>
        <w:t>科研潜质加分细则</w:t>
      </w:r>
    </w:p>
    <w:tbl>
      <w:tblPr>
        <w:tblStyle w:val="6"/>
        <w:tblW w:w="92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3921"/>
        <w:gridCol w:w="4103"/>
      </w:tblGrid>
      <w:tr w14:paraId="54955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exact"/>
          <w:tblHeader/>
          <w:jc w:val="center"/>
        </w:trPr>
        <w:tc>
          <w:tcPr>
            <w:tcW w:w="1271" w:type="dxa"/>
            <w:vAlign w:val="center"/>
          </w:tcPr>
          <w:p w14:paraId="286896E4">
            <w:pPr>
              <w:widowControl/>
              <w:snapToGrid w:val="0"/>
              <w:spacing w:line="276" w:lineRule="auto" w:before="0" w:after="0"/>
              <w:ind w:firstLine="0"/>
              <w:jc w:val="center"/>
              <w:rPr>
                <w:rFonts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ascii="Times New Roman" w:hAnsi="Times New Roman" w:eastAsia="宋体"/>
                <w:b w:val="0"/>
                <w:bCs/>
                <w:sz w:val="21"/>
                <w:highlight w:val="none"/>
              </w:rPr>
              <w:t>考核指标</w:t>
            </w:r>
          </w:p>
        </w:tc>
        <w:tc>
          <w:tcPr>
            <w:tcW w:w="8024" w:type="dxa"/>
            <w:gridSpan w:val="2"/>
            <w:vAlign w:val="center"/>
          </w:tcPr>
          <w:p w14:paraId="3E8B7101">
            <w:pPr>
              <w:widowControl/>
              <w:snapToGrid w:val="0"/>
              <w:spacing w:line="276" w:lineRule="auto" w:before="0" w:after="0"/>
              <w:ind w:firstLine="0"/>
              <w:jc w:val="center"/>
              <w:rPr>
                <w:rFonts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ascii="Times New Roman" w:hAnsi="Times New Roman" w:eastAsia="宋体"/>
                <w:b w:val="0"/>
                <w:bCs/>
                <w:sz w:val="21"/>
                <w:highlight w:val="none"/>
              </w:rPr>
              <w:t>加分项目</w:t>
            </w:r>
          </w:p>
        </w:tc>
      </w:tr>
      <w:tr w14:paraId="2D31A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exact"/>
          <w:jc w:val="center"/>
        </w:trPr>
        <w:tc>
          <w:tcPr>
            <w:tcW w:w="1271" w:type="dxa"/>
            <w:vAlign w:val="center"/>
          </w:tcPr>
          <w:p w14:paraId="15E5BD1C">
            <w:pPr>
              <w:widowControl/>
              <w:snapToGrid w:val="0"/>
              <w:spacing w:line="276" w:lineRule="auto" w:before="0" w:after="0"/>
              <w:ind w:firstLine="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国际组织实习</w:t>
            </w:r>
          </w:p>
          <w:p w14:paraId="234A34D9">
            <w:pPr>
              <w:widowControl/>
              <w:snapToGrid w:val="0"/>
              <w:spacing w:line="276" w:lineRule="auto" w:before="0" w:after="0"/>
              <w:ind w:firstLine="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（5分）</w:t>
            </w:r>
          </w:p>
        </w:tc>
        <w:tc>
          <w:tcPr>
            <w:tcW w:w="8024" w:type="dxa"/>
            <w:gridSpan w:val="2"/>
            <w:vAlign w:val="center"/>
          </w:tcPr>
          <w:p w14:paraId="3395C3D9">
            <w:pPr>
              <w:widowControl/>
              <w:snapToGrid w:val="0"/>
              <w:spacing w:line="276" w:lineRule="auto" w:before="0" w:after="0"/>
              <w:ind w:firstLineChars="200" w:firstLine="0"/>
              <w:jc w:val="left"/>
              <w:rPr>
                <w:rFonts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ascii="Times New Roman" w:hAnsi="Times New Roman" w:eastAsia="宋体"/>
                <w:b w:val="0"/>
                <w:sz w:val="21"/>
                <w:highlight w:val="none"/>
              </w:rPr>
              <w:t>在校期间申请到国际组织实习（含连续三个月以上访学），每次加1分，累计加分不超过5分。</w:t>
            </w:r>
          </w:p>
        </w:tc>
      </w:tr>
      <w:tr w14:paraId="64E6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exact"/>
          <w:jc w:val="center"/>
        </w:trPr>
        <w:tc>
          <w:tcPr>
            <w:tcW w:w="1271" w:type="dxa"/>
            <w:vAlign w:val="center"/>
          </w:tcPr>
          <w:p w14:paraId="460355CD">
            <w:pPr>
              <w:widowControl/>
              <w:snapToGrid w:val="0"/>
              <w:spacing w:line="276" w:lineRule="auto" w:before="0" w:after="0"/>
              <w:ind w:firstLine="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志愿服务</w:t>
            </w:r>
          </w:p>
          <w:p w14:paraId="2D8F6728">
            <w:pPr>
              <w:widowControl/>
              <w:snapToGrid w:val="0"/>
              <w:spacing w:line="276" w:lineRule="auto" w:before="0" w:after="0"/>
              <w:ind w:firstLine="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（3分）</w:t>
            </w:r>
          </w:p>
        </w:tc>
        <w:tc>
          <w:tcPr>
            <w:tcW w:w="8024" w:type="dxa"/>
            <w:gridSpan w:val="2"/>
            <w:vAlign w:val="center"/>
          </w:tcPr>
          <w:p w14:paraId="53688E67">
            <w:pPr>
              <w:widowControl/>
              <w:snapToGrid w:val="0"/>
              <w:spacing w:line="276" w:lineRule="auto" w:before="0" w:after="0"/>
              <w:ind w:firstLineChars="200" w:firstLine="0"/>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在校期间积极参与志愿者服务，每项加1分，同一类型项目不重复加分，累计加分不超过3分。</w:t>
            </w:r>
          </w:p>
        </w:tc>
      </w:tr>
      <w:tr w14:paraId="244B7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exact"/>
          <w:jc w:val="center"/>
        </w:trPr>
        <w:tc>
          <w:tcPr>
            <w:tcW w:w="1271" w:type="dxa"/>
            <w:vAlign w:val="center"/>
          </w:tcPr>
          <w:p w14:paraId="19417619">
            <w:pPr>
              <w:widowControl/>
              <w:snapToGrid w:val="0"/>
              <w:spacing w:line="276" w:lineRule="auto" w:before="0" w:after="0"/>
              <w:ind w:firstLine="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参军入伍</w:t>
            </w:r>
          </w:p>
          <w:p w14:paraId="24755C00">
            <w:pPr>
              <w:widowControl/>
              <w:snapToGrid w:val="0"/>
              <w:spacing w:line="276" w:lineRule="auto" w:before="0" w:after="0"/>
              <w:ind w:firstLine="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（5分）</w:t>
            </w:r>
          </w:p>
        </w:tc>
        <w:tc>
          <w:tcPr>
            <w:tcW w:w="8024" w:type="dxa"/>
            <w:gridSpan w:val="2"/>
            <w:vAlign w:val="center"/>
          </w:tcPr>
          <w:p w14:paraId="6A9DCD04">
            <w:pPr>
              <w:widowControl/>
              <w:snapToGrid w:val="0"/>
              <w:spacing w:line="276" w:lineRule="auto" w:before="0" w:after="0"/>
              <w:ind w:firstLineChars="200" w:firstLine="0"/>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在校期间积极响应国家应征入伍政策，有相应经历加5分。</w:t>
            </w:r>
          </w:p>
        </w:tc>
      </w:tr>
      <w:tr w14:paraId="162BE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0" w:hRule="atLeast"/>
          <w:jc w:val="center"/>
        </w:trPr>
        <w:tc>
          <w:tcPr>
            <w:tcW w:w="1271" w:type="dxa"/>
            <w:vAlign w:val="center"/>
          </w:tcPr>
          <w:p w14:paraId="337443C0">
            <w:pPr>
              <w:widowControl/>
              <w:snapToGrid w:val="0"/>
              <w:spacing w:line="276" w:lineRule="auto" w:before="0" w:after="0"/>
              <w:ind w:firstLine="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综合发展</w:t>
            </w:r>
          </w:p>
          <w:p w14:paraId="5EA3F2EE">
            <w:pPr>
              <w:widowControl/>
              <w:snapToGrid w:val="0"/>
              <w:spacing w:line="276" w:lineRule="auto" w:before="0" w:after="0"/>
              <w:ind w:firstLine="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（5分）</w:t>
            </w:r>
          </w:p>
        </w:tc>
        <w:tc>
          <w:tcPr>
            <w:tcW w:w="8024" w:type="dxa"/>
            <w:gridSpan w:val="2"/>
            <w:vAlign w:val="center"/>
          </w:tcPr>
          <w:p w14:paraId="40618F44">
            <w:pPr>
              <w:widowControl/>
              <w:numPr>
                <w:ilvl w:val="0"/>
                <w:numId w:val="3"/>
              </w:numPr>
              <w:snapToGrid w:val="0"/>
              <w:spacing w:line="276" w:lineRule="auto" w:before="0" w:after="0"/>
              <w:ind w:firstLineChars="200" w:firstLine="0"/>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获得校级及以上党政部门颁发的优秀共产党员称号，按照国家级3分、省级2分、校级1分依次加分；</w:t>
            </w:r>
          </w:p>
          <w:p w14:paraId="1DFF9AB6">
            <w:pPr>
              <w:widowControl/>
              <w:numPr>
                <w:ilvl w:val="0"/>
                <w:numId w:val="3"/>
              </w:numPr>
              <w:snapToGrid w:val="0"/>
              <w:spacing w:line="276" w:lineRule="auto" w:before="0" w:after="0"/>
              <w:ind w:firstLineChars="200" w:firstLine="0"/>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获得校级及以上党政部门颁发的优秀团员或者优秀学生（团）干部，按照国家级3分、省级2分、校级1分依次加分；</w:t>
            </w:r>
          </w:p>
          <w:p w14:paraId="600E95E5">
            <w:pPr>
              <w:widowControl/>
              <w:numPr>
                <w:ilvl w:val="0"/>
                <w:numId w:val="3"/>
              </w:numPr>
              <w:snapToGrid w:val="0"/>
              <w:spacing w:line="276" w:lineRule="auto" w:before="0" w:after="0"/>
              <w:ind w:firstLineChars="200" w:firstLine="0"/>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获得校级及以上社会实践先进个人（标兵）、优秀志愿者荣誉称号，按照国家级3分、省级2分、校级1分依次加分。</w:t>
            </w:r>
          </w:p>
          <w:p w14:paraId="0EEB981E">
            <w:pPr>
              <w:widowControl/>
              <w:snapToGrid w:val="0"/>
              <w:spacing w:line="276" w:lineRule="auto" w:before="0" w:after="0"/>
              <w:ind w:firstLineChars="200" w:firstLine="0"/>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所获荣誉经学院推免生遴选工作小组认定，即可加分。以上荣誉同一类型不重复加分，按最高成绩计算。累计加分不超过5分。</w:t>
            </w:r>
          </w:p>
        </w:tc>
      </w:tr>
      <w:tr w14:paraId="6923A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exact"/>
          <w:jc w:val="center"/>
        </w:trPr>
        <w:tc>
          <w:tcPr>
            <w:tcW w:w="1271" w:type="dxa"/>
            <w:vAlign w:val="center"/>
          </w:tcPr>
          <w:p w14:paraId="66455658">
            <w:pPr>
              <w:widowControl/>
              <w:snapToGrid w:val="0"/>
              <w:spacing w:line="276" w:lineRule="auto" w:before="0" w:after="0"/>
              <w:ind w:firstLine="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科研训练</w:t>
            </w:r>
          </w:p>
          <w:p w14:paraId="3B3D9A6D">
            <w:pPr>
              <w:widowControl/>
              <w:snapToGrid w:val="0"/>
              <w:spacing w:line="276" w:lineRule="auto" w:before="0" w:after="0"/>
              <w:ind w:firstLine="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（2分）</w:t>
            </w:r>
          </w:p>
        </w:tc>
        <w:tc>
          <w:tcPr>
            <w:tcW w:w="8024" w:type="dxa"/>
            <w:gridSpan w:val="2"/>
            <w:vAlign w:val="center"/>
          </w:tcPr>
          <w:p w14:paraId="33208A75">
            <w:pPr>
              <w:widowControl/>
              <w:snapToGrid w:val="0"/>
              <w:spacing w:line="276" w:lineRule="auto" w:before="0" w:after="0"/>
              <w:ind w:firstLineChars="200" w:firstLine="0"/>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参加过学院“启航计划”科研训练者加1分；参与创新创业项目</w:t>
            </w:r>
            <w:r>
              <w:rPr>
                <w:rFonts w:hint="eastAsia" w:asciiTheme="minorEastAsia" w:hAnsiTheme="minorEastAsia" w:eastAsiaTheme="minorEastAsia" w:cstheme="minorEastAsia" w:ascii="Times New Roman" w:hAnsi="Times New Roman" w:eastAsia="宋体"/>
                <w:b w:val="0"/>
                <w:sz w:val="21"/>
                <w:highlight w:val="none"/>
                <w:lang w:val="en-US" w:eastAsia="zh-CN"/>
              </w:rPr>
              <w:t>且结题</w:t>
            </w:r>
            <w:r>
              <w:rPr>
                <w:rFonts w:hint="eastAsia" w:asciiTheme="minorEastAsia" w:hAnsiTheme="minorEastAsia" w:eastAsiaTheme="minorEastAsia" w:cstheme="minorEastAsia" w:ascii="Times New Roman" w:hAnsi="Times New Roman" w:eastAsia="宋体"/>
                <w:b w:val="0"/>
                <w:sz w:val="21"/>
                <w:highlight w:val="none"/>
              </w:rPr>
              <w:t>，每人加</w:t>
            </w:r>
            <w:r>
              <w:rPr>
                <w:rFonts w:hint="eastAsia" w:asciiTheme="minorEastAsia" w:hAnsiTheme="minorEastAsia" w:eastAsiaTheme="minorEastAsia" w:cstheme="minorEastAsia" w:ascii="Times New Roman" w:hAnsi="Times New Roman" w:eastAsia="宋体"/>
                <w:b w:val="0"/>
                <w:sz w:val="21"/>
                <w:highlight w:val="none"/>
                <w:lang w:val="en-US" w:eastAsia="zh-CN"/>
              </w:rPr>
              <w:t>0.5</w:t>
            </w:r>
            <w:r>
              <w:rPr>
                <w:rFonts w:hint="eastAsia" w:asciiTheme="minorEastAsia" w:hAnsiTheme="minorEastAsia" w:eastAsiaTheme="minorEastAsia" w:cstheme="minorEastAsia" w:ascii="Times New Roman" w:hAnsi="Times New Roman" w:eastAsia="宋体"/>
                <w:b w:val="0"/>
                <w:sz w:val="21"/>
                <w:highlight w:val="none"/>
              </w:rPr>
              <w:t>分。</w:t>
            </w:r>
          </w:p>
        </w:tc>
      </w:tr>
      <w:tr w14:paraId="68347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8" w:hRule="exact"/>
          <w:jc w:val="center"/>
        </w:trPr>
        <w:tc>
          <w:tcPr>
            <w:tcW w:w="1271" w:type="dxa"/>
            <w:vMerge w:val="restart"/>
            <w:vAlign w:val="center"/>
          </w:tcPr>
          <w:p w14:paraId="06EB6D75">
            <w:pPr>
              <w:widowControl/>
              <w:snapToGrid w:val="0"/>
              <w:spacing w:line="276" w:lineRule="auto" w:before="0" w:after="0"/>
              <w:ind w:firstLine="0"/>
              <w:jc w:val="center"/>
              <w:rPr>
                <w:rFonts w:asciiTheme="minorEastAsia" w:hAnsiTheme="minorEastAsia" w:eastAsiaTheme="minorEastAsia" w:cstheme="minorEastAsia"/>
                <w:sz w:val="24"/>
                <w:highlight w:val="none"/>
              </w:rPr>
            </w:pPr>
          </w:p>
          <w:p w14:paraId="4386E211">
            <w:pPr>
              <w:widowControl/>
              <w:snapToGrid w:val="0"/>
              <w:spacing w:line="276" w:lineRule="auto" w:before="0" w:after="0"/>
              <w:ind w:firstLine="0"/>
              <w:jc w:val="center"/>
              <w:rPr>
                <w:rFonts w:asciiTheme="minorEastAsia" w:hAnsiTheme="minorEastAsia" w:eastAsiaTheme="minorEastAsia" w:cstheme="minorEastAsia"/>
                <w:sz w:val="24"/>
                <w:highlight w:val="none"/>
              </w:rPr>
            </w:pPr>
          </w:p>
          <w:p w14:paraId="7DA8C89C">
            <w:pPr>
              <w:widowControl/>
              <w:snapToGrid w:val="0"/>
              <w:spacing w:line="276" w:lineRule="auto" w:before="0" w:after="0"/>
              <w:ind w:firstLine="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外语水平</w:t>
            </w:r>
          </w:p>
          <w:p w14:paraId="0713DE30">
            <w:pPr>
              <w:widowControl/>
              <w:snapToGrid w:val="0"/>
              <w:spacing w:line="276" w:lineRule="auto" w:before="0" w:after="0"/>
              <w:ind w:firstLine="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（10分）</w:t>
            </w:r>
          </w:p>
          <w:p w14:paraId="12E141EC">
            <w:pPr>
              <w:widowControl/>
              <w:snapToGrid w:val="0"/>
              <w:spacing w:line="276" w:lineRule="auto" w:before="0" w:after="0"/>
              <w:ind w:firstLine="0"/>
              <w:rPr>
                <w:rFonts w:asciiTheme="minorEastAsia" w:hAnsiTheme="minorEastAsia" w:eastAsiaTheme="minorEastAsia" w:cstheme="minorEastAsia"/>
                <w:sz w:val="24"/>
                <w:highlight w:val="none"/>
              </w:rPr>
            </w:pPr>
          </w:p>
        </w:tc>
        <w:tc>
          <w:tcPr>
            <w:tcW w:w="3921" w:type="dxa"/>
            <w:vMerge w:val="restart"/>
            <w:vAlign w:val="center"/>
          </w:tcPr>
          <w:p w14:paraId="01F3198C">
            <w:pPr>
              <w:widowControl/>
              <w:snapToGrid w:val="0"/>
              <w:spacing w:line="276" w:lineRule="auto" w:before="0" w:after="0"/>
              <w:ind w:firstLineChars="200" w:firstLine="0"/>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外语水平认定经学院推免生遴选工作小组认定，即可加分。三种类型不累计加分，按分数最高一类计算。</w:t>
            </w:r>
          </w:p>
        </w:tc>
        <w:tc>
          <w:tcPr>
            <w:tcW w:w="4103" w:type="dxa"/>
            <w:vAlign w:val="center"/>
          </w:tcPr>
          <w:p w14:paraId="74128878">
            <w:pPr>
              <w:widowControl/>
              <w:snapToGrid w:val="0"/>
              <w:spacing w:line="276" w:lineRule="auto" w:before="0" w:after="0"/>
              <w:ind w:firstLineChars="200" w:firstLine="0"/>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全国英语六级考试成绩在425分到479分加2分；480分到499分加3分；500分到549分加4分；550分到599分加5分；600分到649分加8分；650分以上者加10分。</w:t>
            </w:r>
          </w:p>
        </w:tc>
      </w:tr>
      <w:tr w14:paraId="4DBC1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3" w:hRule="exact"/>
          <w:jc w:val="center"/>
        </w:trPr>
        <w:tc>
          <w:tcPr>
            <w:tcW w:w="1271" w:type="dxa"/>
            <w:vMerge w:val="continue"/>
            <w:vAlign w:val="center"/>
          </w:tcPr>
          <w:p w14:paraId="3C078325">
            <w:pPr>
              <w:widowControl/>
              <w:snapToGrid w:val="0"/>
              <w:jc w:val="center"/>
              <w:rPr>
                <w:rFonts w:asciiTheme="minorEastAsia" w:hAnsiTheme="minorEastAsia" w:eastAsiaTheme="minorEastAsia" w:cstheme="minorEastAsia"/>
                <w:sz w:val="24"/>
                <w:highlight w:val="none"/>
              </w:rPr>
            </w:pPr>
          </w:p>
        </w:tc>
        <w:tc>
          <w:tcPr>
            <w:tcW w:w="3921" w:type="dxa"/>
            <w:vMerge w:val="continue"/>
            <w:vAlign w:val="center"/>
          </w:tcPr>
          <w:p w14:paraId="1F6C6719">
            <w:pPr>
              <w:widowControl/>
              <w:snapToGrid w:val="0"/>
              <w:ind w:firstLine="480" w:firstLineChars="200"/>
              <w:rPr>
                <w:rFonts w:asciiTheme="minorEastAsia" w:hAnsiTheme="minorEastAsia" w:eastAsiaTheme="minorEastAsia" w:cstheme="minorEastAsia"/>
                <w:sz w:val="24"/>
                <w:highlight w:val="none"/>
              </w:rPr>
            </w:pPr>
          </w:p>
        </w:tc>
        <w:tc>
          <w:tcPr>
            <w:tcW w:w="4103" w:type="dxa"/>
            <w:vAlign w:val="center"/>
          </w:tcPr>
          <w:p w14:paraId="69079C7B">
            <w:pPr>
              <w:widowControl/>
              <w:snapToGrid w:val="0"/>
              <w:spacing w:line="276" w:lineRule="auto" w:before="0" w:after="0"/>
              <w:ind w:firstLineChars="200" w:firstLine="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雅思成绩（有效期两年内）6.5加2分，7.0及以上者加3分；托福成绩（有效期两年内）90分及以上100分以下加2分，100分及以上加3分；GRE（有效期两年内）310分及以上加2分，320分及以上加3分。二者不重复加分，按最高成绩计算。</w:t>
            </w:r>
          </w:p>
        </w:tc>
      </w:tr>
      <w:tr w14:paraId="5EE7A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exact"/>
          <w:jc w:val="center"/>
        </w:trPr>
        <w:tc>
          <w:tcPr>
            <w:tcW w:w="1271" w:type="dxa"/>
            <w:vMerge w:val="continue"/>
            <w:vAlign w:val="center"/>
          </w:tcPr>
          <w:p w14:paraId="38223C37">
            <w:pPr>
              <w:widowControl/>
              <w:snapToGrid w:val="0"/>
              <w:jc w:val="center"/>
              <w:rPr>
                <w:rFonts w:asciiTheme="minorEastAsia" w:hAnsiTheme="minorEastAsia" w:eastAsiaTheme="minorEastAsia" w:cstheme="minorEastAsia"/>
                <w:sz w:val="24"/>
                <w:highlight w:val="none"/>
              </w:rPr>
            </w:pPr>
          </w:p>
        </w:tc>
        <w:tc>
          <w:tcPr>
            <w:tcW w:w="3921" w:type="dxa"/>
            <w:vMerge w:val="continue"/>
            <w:vAlign w:val="center"/>
          </w:tcPr>
          <w:p w14:paraId="6078F882">
            <w:pPr>
              <w:widowControl/>
              <w:snapToGrid w:val="0"/>
              <w:ind w:firstLine="480" w:firstLineChars="200"/>
              <w:jc w:val="left"/>
              <w:rPr>
                <w:rFonts w:asciiTheme="minorEastAsia" w:hAnsiTheme="minorEastAsia" w:eastAsiaTheme="minorEastAsia" w:cstheme="minorEastAsia"/>
                <w:sz w:val="24"/>
                <w:highlight w:val="none"/>
              </w:rPr>
            </w:pPr>
          </w:p>
        </w:tc>
        <w:tc>
          <w:tcPr>
            <w:tcW w:w="4103" w:type="dxa"/>
            <w:vAlign w:val="center"/>
          </w:tcPr>
          <w:p w14:paraId="2DD31D54">
            <w:pPr>
              <w:widowControl/>
              <w:snapToGrid w:val="0"/>
              <w:spacing w:line="276" w:lineRule="auto" w:before="0" w:after="0"/>
              <w:ind w:firstLineChars="200" w:firstLine="0"/>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选修全英文课程且无挂科，每门加0.5分；获得90分及以上每门再加1分，获得80-89分每门再加0.5分。选修暑期全英文课程并获得学分，每门加0.5分。累计加分不超过5分。</w:t>
            </w:r>
          </w:p>
        </w:tc>
      </w:tr>
      <w:tr w14:paraId="6E2F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5" w:hRule="atLeast"/>
          <w:jc w:val="center"/>
        </w:trPr>
        <w:tc>
          <w:tcPr>
            <w:tcW w:w="1271" w:type="dxa"/>
            <w:vAlign w:val="center"/>
          </w:tcPr>
          <w:p w14:paraId="53A040A7">
            <w:pPr>
              <w:widowControl/>
              <w:snapToGrid w:val="0"/>
              <w:spacing w:line="276" w:lineRule="auto" w:before="0" w:after="0"/>
              <w:ind w:firstLine="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科技竞赛</w:t>
            </w:r>
          </w:p>
          <w:p w14:paraId="1259BBE5">
            <w:pPr>
              <w:widowControl/>
              <w:snapToGrid w:val="0"/>
              <w:spacing w:line="276" w:lineRule="auto" w:before="0" w:after="0"/>
              <w:ind w:firstLine="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（10分）</w:t>
            </w:r>
          </w:p>
        </w:tc>
        <w:tc>
          <w:tcPr>
            <w:tcW w:w="8024" w:type="dxa"/>
            <w:gridSpan w:val="2"/>
            <w:vAlign w:val="center"/>
          </w:tcPr>
          <w:p w14:paraId="0B4BCEDC">
            <w:pPr>
              <w:widowControl/>
              <w:snapToGrid w:val="0"/>
              <w:spacing w:line="276" w:lineRule="auto" w:before="0" w:after="0"/>
              <w:ind w:firstLineChars="200" w:firstLine="0"/>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获得国家级学术科技竞赛（具体项目见《西北农林科技大学特长生免试攻读研究生推荐办法》中附件：ABC类学科竞赛目录）特等、一等（金奖）、二等奖（银奖）和三等奖（铜奖），</w:t>
            </w:r>
            <w:r>
              <w:rPr>
                <w:rFonts w:hint="eastAsia" w:asciiTheme="minorEastAsia" w:hAnsiTheme="minorEastAsia" w:eastAsiaTheme="minorEastAsia" w:cstheme="minorEastAsia" w:ascii="Times New Roman" w:hAnsi="Times New Roman" w:eastAsia="宋体"/>
                <w:b w:val="0"/>
                <w:sz w:val="21"/>
                <w:highlight w:val="none"/>
                <w:lang w:val="en-US" w:eastAsia="zh-CN"/>
              </w:rPr>
              <w:t>A类</w:t>
            </w:r>
            <w:r>
              <w:rPr>
                <w:rFonts w:hint="eastAsia" w:asciiTheme="minorEastAsia" w:hAnsiTheme="minorEastAsia" w:eastAsiaTheme="minorEastAsia" w:cstheme="minorEastAsia" w:ascii="Times New Roman" w:hAnsi="Times New Roman" w:eastAsia="宋体"/>
                <w:b w:val="0"/>
                <w:sz w:val="21"/>
                <w:highlight w:val="none"/>
              </w:rPr>
              <w:t>分别加5分、4分、3分和2分，</w:t>
            </w:r>
            <w:r>
              <w:rPr>
                <w:rFonts w:hint="eastAsia" w:asciiTheme="minorEastAsia" w:hAnsiTheme="minorEastAsia" w:eastAsiaTheme="minorEastAsia" w:cstheme="minorEastAsia" w:ascii="Times New Roman" w:hAnsi="Times New Roman" w:eastAsia="宋体"/>
                <w:b w:val="0"/>
                <w:sz w:val="21"/>
                <w:highlight w:val="none"/>
                <w:lang w:val="en-US" w:eastAsia="zh-CN"/>
              </w:rPr>
              <w:t>B类</w:t>
            </w:r>
            <w:r>
              <w:rPr>
                <w:rFonts w:hint="eastAsia" w:asciiTheme="minorEastAsia" w:hAnsiTheme="minorEastAsia" w:eastAsiaTheme="minorEastAsia" w:cstheme="minorEastAsia" w:ascii="Times New Roman" w:hAnsi="Times New Roman" w:eastAsia="宋体"/>
                <w:b w:val="0"/>
                <w:sz w:val="21"/>
                <w:highlight w:val="none"/>
              </w:rPr>
              <w:t>分别加</w:t>
            </w:r>
            <w:r>
              <w:rPr>
                <w:rFonts w:hint="eastAsia" w:asciiTheme="minorEastAsia" w:hAnsiTheme="minorEastAsia" w:eastAsiaTheme="minorEastAsia" w:cstheme="minorEastAsia" w:ascii="Times New Roman" w:hAnsi="Times New Roman" w:eastAsia="宋体"/>
                <w:b w:val="0"/>
                <w:sz w:val="21"/>
                <w:highlight w:val="none"/>
                <w:lang w:val="en-US" w:eastAsia="zh-CN"/>
              </w:rPr>
              <w:t>4</w:t>
            </w:r>
            <w:r>
              <w:rPr>
                <w:rFonts w:hint="eastAsia" w:asciiTheme="minorEastAsia" w:hAnsiTheme="minorEastAsia" w:eastAsiaTheme="minorEastAsia" w:cstheme="minorEastAsia" w:ascii="Times New Roman" w:hAnsi="Times New Roman" w:eastAsia="宋体"/>
                <w:b w:val="0"/>
                <w:sz w:val="21"/>
                <w:highlight w:val="none"/>
              </w:rPr>
              <w:t>分、</w:t>
            </w:r>
            <w:r>
              <w:rPr>
                <w:rFonts w:hint="eastAsia" w:asciiTheme="minorEastAsia" w:hAnsiTheme="minorEastAsia" w:eastAsiaTheme="minorEastAsia" w:cstheme="minorEastAsia" w:ascii="Times New Roman" w:hAnsi="Times New Roman" w:eastAsia="宋体"/>
                <w:b w:val="0"/>
                <w:sz w:val="21"/>
                <w:highlight w:val="none"/>
                <w:lang w:val="en-US" w:eastAsia="zh-CN"/>
              </w:rPr>
              <w:t>3</w:t>
            </w:r>
            <w:r>
              <w:rPr>
                <w:rFonts w:hint="eastAsia" w:asciiTheme="minorEastAsia" w:hAnsiTheme="minorEastAsia" w:eastAsiaTheme="minorEastAsia" w:cstheme="minorEastAsia" w:ascii="Times New Roman" w:hAnsi="Times New Roman" w:eastAsia="宋体"/>
                <w:b w:val="0"/>
                <w:sz w:val="21"/>
                <w:highlight w:val="none"/>
              </w:rPr>
              <w:t>分、</w:t>
            </w:r>
            <w:r>
              <w:rPr>
                <w:rFonts w:hint="eastAsia" w:asciiTheme="minorEastAsia" w:hAnsiTheme="minorEastAsia" w:eastAsiaTheme="minorEastAsia" w:cstheme="minorEastAsia" w:ascii="Times New Roman" w:hAnsi="Times New Roman" w:eastAsia="宋体"/>
                <w:b w:val="0"/>
                <w:sz w:val="21"/>
                <w:highlight w:val="none"/>
                <w:lang w:val="en-US" w:eastAsia="zh-CN"/>
              </w:rPr>
              <w:t>2</w:t>
            </w:r>
            <w:r>
              <w:rPr>
                <w:rFonts w:hint="eastAsia" w:asciiTheme="minorEastAsia" w:hAnsiTheme="minorEastAsia" w:eastAsiaTheme="minorEastAsia" w:cstheme="minorEastAsia" w:ascii="Times New Roman" w:hAnsi="Times New Roman" w:eastAsia="宋体"/>
                <w:b w:val="0"/>
                <w:sz w:val="21"/>
                <w:highlight w:val="none"/>
              </w:rPr>
              <w:t>分和</w:t>
            </w:r>
            <w:r>
              <w:rPr>
                <w:rFonts w:hint="eastAsia" w:asciiTheme="minorEastAsia" w:hAnsiTheme="minorEastAsia" w:eastAsiaTheme="minorEastAsia" w:cstheme="minorEastAsia" w:ascii="Times New Roman" w:hAnsi="Times New Roman" w:eastAsia="宋体"/>
                <w:b w:val="0"/>
                <w:sz w:val="21"/>
                <w:highlight w:val="none"/>
                <w:lang w:val="en-US" w:eastAsia="zh-CN"/>
              </w:rPr>
              <w:t>1</w:t>
            </w:r>
            <w:r>
              <w:rPr>
                <w:rFonts w:hint="eastAsia" w:asciiTheme="minorEastAsia" w:hAnsiTheme="minorEastAsia" w:eastAsiaTheme="minorEastAsia" w:cstheme="minorEastAsia" w:ascii="Times New Roman" w:hAnsi="Times New Roman" w:eastAsia="宋体"/>
                <w:b w:val="0"/>
                <w:sz w:val="21"/>
                <w:highlight w:val="none"/>
              </w:rPr>
              <w:t>分</w:t>
            </w:r>
            <w:r>
              <w:rPr>
                <w:rFonts w:hint="eastAsia" w:asciiTheme="minorEastAsia" w:hAnsiTheme="minorEastAsia" w:eastAsiaTheme="minorEastAsia" w:cstheme="minorEastAsia" w:ascii="Times New Roman" w:hAnsi="Times New Roman" w:eastAsia="宋体"/>
                <w:b w:val="0"/>
                <w:sz w:val="21"/>
                <w:highlight w:val="none"/>
                <w:lang w:eastAsia="zh-CN"/>
              </w:rPr>
              <w:t>，</w:t>
            </w:r>
            <w:r>
              <w:rPr>
                <w:rFonts w:hint="eastAsia" w:asciiTheme="minorEastAsia" w:hAnsiTheme="minorEastAsia" w:eastAsiaTheme="minorEastAsia" w:cstheme="minorEastAsia" w:ascii="Times New Roman" w:hAnsi="Times New Roman" w:eastAsia="宋体"/>
                <w:b w:val="0"/>
                <w:sz w:val="21"/>
                <w:highlight w:val="none"/>
                <w:lang w:val="en-US" w:eastAsia="zh-CN"/>
              </w:rPr>
              <w:t>C类</w:t>
            </w:r>
            <w:r>
              <w:rPr>
                <w:rFonts w:hint="eastAsia" w:asciiTheme="minorEastAsia" w:hAnsiTheme="minorEastAsia" w:eastAsiaTheme="minorEastAsia" w:cstheme="minorEastAsia" w:ascii="Times New Roman" w:hAnsi="Times New Roman" w:eastAsia="宋体"/>
                <w:b w:val="0"/>
                <w:sz w:val="21"/>
                <w:highlight w:val="none"/>
              </w:rPr>
              <w:t>分别加</w:t>
            </w:r>
            <w:r>
              <w:rPr>
                <w:rFonts w:hint="eastAsia" w:asciiTheme="minorEastAsia" w:hAnsiTheme="minorEastAsia" w:eastAsiaTheme="minorEastAsia" w:cstheme="minorEastAsia" w:ascii="Times New Roman" w:hAnsi="Times New Roman" w:eastAsia="宋体"/>
                <w:b w:val="0"/>
                <w:sz w:val="21"/>
                <w:highlight w:val="none"/>
                <w:lang w:val="en-US" w:eastAsia="zh-CN"/>
              </w:rPr>
              <w:t>3</w:t>
            </w:r>
            <w:r>
              <w:rPr>
                <w:rFonts w:hint="eastAsia" w:asciiTheme="minorEastAsia" w:hAnsiTheme="minorEastAsia" w:eastAsiaTheme="minorEastAsia" w:cstheme="minorEastAsia" w:ascii="Times New Roman" w:hAnsi="Times New Roman" w:eastAsia="宋体"/>
                <w:b w:val="0"/>
                <w:sz w:val="21"/>
                <w:highlight w:val="none"/>
              </w:rPr>
              <w:t>分、</w:t>
            </w:r>
            <w:r>
              <w:rPr>
                <w:rFonts w:hint="eastAsia" w:asciiTheme="minorEastAsia" w:hAnsiTheme="minorEastAsia" w:eastAsiaTheme="minorEastAsia" w:cstheme="minorEastAsia" w:ascii="Times New Roman" w:hAnsi="Times New Roman" w:eastAsia="宋体"/>
                <w:b w:val="0"/>
                <w:sz w:val="21"/>
                <w:highlight w:val="none"/>
                <w:lang w:val="en-US" w:eastAsia="zh-CN"/>
              </w:rPr>
              <w:t>2</w:t>
            </w:r>
            <w:r>
              <w:rPr>
                <w:rFonts w:hint="eastAsia" w:asciiTheme="minorEastAsia" w:hAnsiTheme="minorEastAsia" w:eastAsiaTheme="minorEastAsia" w:cstheme="minorEastAsia" w:ascii="Times New Roman" w:hAnsi="Times New Roman" w:eastAsia="宋体"/>
                <w:b w:val="0"/>
                <w:sz w:val="21"/>
                <w:highlight w:val="none"/>
              </w:rPr>
              <w:t>分、</w:t>
            </w:r>
            <w:r>
              <w:rPr>
                <w:rFonts w:hint="eastAsia" w:asciiTheme="minorEastAsia" w:hAnsiTheme="minorEastAsia" w:eastAsiaTheme="minorEastAsia" w:cstheme="minorEastAsia" w:ascii="Times New Roman" w:hAnsi="Times New Roman" w:eastAsia="宋体"/>
                <w:b w:val="0"/>
                <w:sz w:val="21"/>
                <w:highlight w:val="none"/>
                <w:lang w:val="en-US" w:eastAsia="zh-CN"/>
              </w:rPr>
              <w:t>1</w:t>
            </w:r>
            <w:r>
              <w:rPr>
                <w:rFonts w:hint="eastAsia" w:asciiTheme="minorEastAsia" w:hAnsiTheme="minorEastAsia" w:eastAsiaTheme="minorEastAsia" w:cstheme="minorEastAsia" w:ascii="Times New Roman" w:hAnsi="Times New Roman" w:eastAsia="宋体"/>
                <w:b w:val="0"/>
                <w:sz w:val="21"/>
                <w:highlight w:val="none"/>
              </w:rPr>
              <w:t>分</w:t>
            </w:r>
            <w:r>
              <w:rPr>
                <w:rFonts w:hint="eastAsia" w:asciiTheme="minorEastAsia" w:hAnsiTheme="minorEastAsia" w:eastAsiaTheme="minorEastAsia" w:cstheme="minorEastAsia" w:ascii="Times New Roman" w:hAnsi="Times New Roman" w:eastAsia="宋体"/>
                <w:b w:val="0"/>
                <w:sz w:val="21"/>
                <w:highlight w:val="none"/>
                <w:lang w:eastAsia="zh-CN"/>
              </w:rPr>
              <w:t>（</w:t>
            </w:r>
            <w:r>
              <w:rPr>
                <w:rFonts w:hint="eastAsia" w:asciiTheme="minorEastAsia" w:hAnsiTheme="minorEastAsia" w:eastAsiaTheme="minorEastAsia" w:cstheme="minorEastAsia" w:ascii="Times New Roman" w:hAnsi="Times New Roman" w:eastAsia="宋体"/>
                <w:b w:val="0"/>
                <w:sz w:val="21"/>
                <w:highlight w:val="none"/>
                <w:lang w:val="en-US" w:eastAsia="zh-CN"/>
              </w:rPr>
              <w:t>三等奖不加分</w:t>
            </w:r>
            <w:r>
              <w:rPr>
                <w:rFonts w:hint="eastAsia" w:asciiTheme="minorEastAsia" w:hAnsiTheme="minorEastAsia" w:eastAsiaTheme="minorEastAsia" w:cstheme="minorEastAsia" w:ascii="Times New Roman" w:hAnsi="Times New Roman" w:eastAsia="宋体"/>
                <w:b w:val="0"/>
                <w:sz w:val="21"/>
                <w:highlight w:val="none"/>
                <w:lang w:eastAsia="zh-CN"/>
              </w:rPr>
              <w:t>）。</w:t>
            </w:r>
            <w:r>
              <w:rPr>
                <w:rFonts w:hint="eastAsia" w:asciiTheme="minorEastAsia" w:hAnsiTheme="minorEastAsia" w:eastAsiaTheme="minorEastAsia" w:cstheme="minorEastAsia" w:ascii="Times New Roman" w:hAnsi="Times New Roman" w:eastAsia="宋体"/>
                <w:b w:val="0"/>
                <w:sz w:val="21"/>
                <w:highlight w:val="none"/>
              </w:rPr>
              <w:t>团体项目得分均分给前五名参与者（A类学科竞赛）或前三名参与者（B、C类学科竞赛）。同一类型不重复加分，累计加分不超过10分。</w:t>
            </w:r>
          </w:p>
        </w:tc>
      </w:tr>
      <w:tr w14:paraId="0001C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1" w:hRule="atLeast"/>
          <w:jc w:val="center"/>
        </w:trPr>
        <w:tc>
          <w:tcPr>
            <w:tcW w:w="1271" w:type="dxa"/>
            <w:vAlign w:val="center"/>
          </w:tcPr>
          <w:p w14:paraId="26C5CF61">
            <w:pPr>
              <w:widowControl/>
              <w:snapToGrid w:val="0"/>
              <w:spacing w:line="276" w:lineRule="auto" w:before="0" w:after="0"/>
              <w:ind w:firstLine="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学术研究</w:t>
            </w:r>
          </w:p>
          <w:p w14:paraId="30A49F13">
            <w:pPr>
              <w:widowControl/>
              <w:snapToGrid w:val="0"/>
              <w:spacing w:line="276" w:lineRule="auto" w:before="0" w:after="0"/>
              <w:ind w:firstLine="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（5分）</w:t>
            </w:r>
          </w:p>
        </w:tc>
        <w:tc>
          <w:tcPr>
            <w:tcW w:w="8024" w:type="dxa"/>
            <w:gridSpan w:val="2"/>
            <w:vAlign w:val="center"/>
          </w:tcPr>
          <w:p w14:paraId="112A353B">
            <w:pPr>
              <w:widowControl/>
              <w:snapToGrid w:val="0"/>
              <w:spacing w:line="276" w:lineRule="auto" w:before="0" w:after="0"/>
              <w:ind w:firstLineChars="200" w:firstLine="0"/>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以主持人（队长）身份申请</w:t>
            </w:r>
            <w:r>
              <w:rPr>
                <w:rFonts w:hint="eastAsia" w:asciiTheme="minorEastAsia" w:hAnsiTheme="minorEastAsia" w:eastAsiaTheme="minorEastAsia" w:cstheme="minorEastAsia" w:ascii="Times New Roman" w:hAnsi="Times New Roman" w:eastAsia="宋体"/>
                <w:b w:val="0"/>
                <w:sz w:val="21"/>
                <w:highlight w:val="none"/>
                <w:lang w:val="en-US" w:eastAsia="zh-CN"/>
              </w:rPr>
              <w:t>获批</w:t>
            </w:r>
            <w:r>
              <w:rPr>
                <w:rFonts w:hint="eastAsia" w:asciiTheme="minorEastAsia" w:hAnsiTheme="minorEastAsia" w:eastAsiaTheme="minorEastAsia" w:cstheme="minorEastAsia" w:ascii="Times New Roman" w:hAnsi="Times New Roman" w:eastAsia="宋体"/>
                <w:b w:val="0"/>
                <w:sz w:val="21"/>
                <w:highlight w:val="none"/>
              </w:rPr>
              <w:t>大学生创新创业训练计划项目（或大学生创新性实验计划项目）课题结题考核等级为优秀者，按照国家级加3分，省级加2分，校级加1分；以第一作者身份（有共同第一作者时只认定排位第一的作者），文章署名单位为西北农林科技大学</w:t>
            </w:r>
            <w:r>
              <w:rPr>
                <w:rFonts w:hint="eastAsia" w:asciiTheme="minorEastAsia" w:hAnsiTheme="minorEastAsia" w:eastAsiaTheme="minorEastAsia" w:cstheme="minorEastAsia" w:ascii="Times New Roman" w:hAnsi="Times New Roman" w:eastAsia="宋体"/>
                <w:b w:val="0"/>
                <w:sz w:val="21"/>
                <w:highlight w:val="none"/>
                <w:lang w:val="en-US" w:eastAsia="zh-CN"/>
              </w:rPr>
              <w:t>生命科学学院</w:t>
            </w:r>
            <w:r>
              <w:rPr>
                <w:rFonts w:hint="eastAsia" w:asciiTheme="minorEastAsia" w:hAnsiTheme="minorEastAsia" w:eastAsiaTheme="minorEastAsia" w:cstheme="minorEastAsia" w:ascii="Times New Roman" w:hAnsi="Times New Roman" w:eastAsia="宋体"/>
                <w:b w:val="0"/>
                <w:sz w:val="21"/>
                <w:highlight w:val="none"/>
              </w:rPr>
              <w:t>，在SCI上发表</w:t>
            </w:r>
            <w:r>
              <w:rPr>
                <w:rFonts w:hint="eastAsia" w:asciiTheme="minorEastAsia" w:hAnsiTheme="minorEastAsia" w:eastAsiaTheme="minorEastAsia" w:cstheme="minorEastAsia" w:ascii="Times New Roman" w:hAnsi="Times New Roman" w:eastAsia="宋体"/>
                <w:b w:val="0"/>
                <w:sz w:val="21"/>
                <w:highlight w:val="none"/>
                <w:lang w:val="en-US" w:eastAsia="zh-CN"/>
              </w:rPr>
              <w:t>研究</w:t>
            </w:r>
            <w:r>
              <w:rPr>
                <w:rFonts w:hint="eastAsia" w:asciiTheme="minorEastAsia" w:hAnsiTheme="minorEastAsia" w:eastAsiaTheme="minorEastAsia" w:cstheme="minorEastAsia" w:ascii="Times New Roman" w:hAnsi="Times New Roman" w:eastAsia="宋体"/>
                <w:b w:val="0"/>
                <w:sz w:val="21"/>
                <w:highlight w:val="none"/>
              </w:rPr>
              <w:t>论文每篇加3分，</w:t>
            </w:r>
            <w:r>
              <w:rPr>
                <w:rFonts w:hint="eastAsia" w:asciiTheme="minorEastAsia" w:hAnsiTheme="minorEastAsia" w:eastAsiaTheme="minorEastAsia" w:cstheme="minorEastAsia" w:ascii="Times New Roman" w:hAnsi="Times New Roman" w:eastAsia="宋体"/>
                <w:b w:val="0"/>
                <w:sz w:val="21"/>
                <w:highlight w:val="none"/>
                <w:lang w:val="en-US" w:eastAsia="zh-CN"/>
              </w:rPr>
              <w:t>发表EI、中文核心论文等每篇加1分</w:t>
            </w:r>
            <w:r>
              <w:rPr>
                <w:rFonts w:hint="eastAsia" w:asciiTheme="minorEastAsia" w:hAnsiTheme="minorEastAsia" w:eastAsiaTheme="minorEastAsia" w:cstheme="minorEastAsia" w:ascii="Times New Roman" w:hAnsi="Times New Roman" w:eastAsia="宋体"/>
                <w:b w:val="0"/>
                <w:sz w:val="21"/>
                <w:highlight w:val="none"/>
                <w:lang w:eastAsia="zh-CN"/>
              </w:rPr>
              <w:t>，</w:t>
            </w:r>
            <w:r>
              <w:rPr>
                <w:rFonts w:hint="eastAsia" w:asciiTheme="minorEastAsia" w:hAnsiTheme="minorEastAsia" w:eastAsiaTheme="minorEastAsia" w:cstheme="minorEastAsia" w:ascii="Times New Roman" w:hAnsi="Times New Roman" w:eastAsia="宋体"/>
                <w:b w:val="0"/>
                <w:sz w:val="21"/>
                <w:highlight w:val="none"/>
              </w:rPr>
              <w:t>必须见刊或在线发表。累计加分不超过5分。</w:t>
            </w:r>
          </w:p>
        </w:tc>
      </w:tr>
      <w:tr w14:paraId="69DB6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jc w:val="center"/>
        </w:trPr>
        <w:tc>
          <w:tcPr>
            <w:tcW w:w="1271" w:type="dxa"/>
            <w:vAlign w:val="center"/>
          </w:tcPr>
          <w:p w14:paraId="756563EC">
            <w:pPr>
              <w:widowControl/>
              <w:snapToGrid w:val="0"/>
              <w:spacing w:line="276" w:lineRule="auto" w:before="0" w:after="0"/>
              <w:ind w:firstLine="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发明及专利</w:t>
            </w:r>
          </w:p>
          <w:p w14:paraId="696794E5">
            <w:pPr>
              <w:widowControl/>
              <w:snapToGrid w:val="0"/>
              <w:spacing w:line="276" w:lineRule="auto" w:before="0" w:after="0"/>
              <w:ind w:firstLine="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（5分）</w:t>
            </w:r>
          </w:p>
        </w:tc>
        <w:tc>
          <w:tcPr>
            <w:tcW w:w="8024" w:type="dxa"/>
            <w:gridSpan w:val="2"/>
            <w:vAlign w:val="center"/>
          </w:tcPr>
          <w:p w14:paraId="6B1E30DC">
            <w:pPr>
              <w:widowControl/>
              <w:snapToGrid w:val="0"/>
              <w:spacing w:line="276" w:lineRule="auto" w:before="0" w:after="0"/>
              <w:ind w:firstLineChars="200" w:firstLine="0"/>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1"/>
                <w:highlight w:val="none"/>
              </w:rPr>
              <w:t>以第一完成人申请并获国家授权发明专利，正式获批科技发明专利每项加1分。累计加分不超过5分。</w:t>
            </w:r>
          </w:p>
        </w:tc>
      </w:tr>
    </w:tbl>
    <w:p w14:paraId="3184DF07">
      <w:pPr>
        <w:widowControl/>
        <w:snapToGrid w:val="0"/>
        <w:spacing w:line="360" w:lineRule="auto" w:before="0" w:after="80"/>
        <w:ind w:firstLine="482"/>
        <w:jc w:val="both"/>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4"/>
          <w:highlight w:val="none"/>
        </w:rPr>
        <w:t>注：</w:t>
      </w:r>
    </w:p>
    <w:p w14:paraId="34E30E32">
      <w:pPr>
        <w:widowControl/>
        <w:snapToGrid w:val="0"/>
        <w:spacing w:line="360" w:lineRule="auto" w:before="160" w:after="80"/>
        <w:ind w:firstLine="0"/>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sz w:val="28"/>
          <w:highlight w:val="none"/>
        </w:rPr>
        <w:t>1.科研潜质考核加分项按表格内容加分计算，同一项目加分就高不就低，不重复加分。</w:t>
      </w:r>
    </w:p>
    <w:p w14:paraId="7C185F3E">
      <w:pPr>
        <w:widowControl/>
        <w:snapToGrid w:val="0"/>
        <w:spacing w:line="360" w:lineRule="auto" w:before="160" w:after="80"/>
        <w:ind w:firstLine="0"/>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sz w:val="28"/>
          <w:highlight w:val="none"/>
        </w:rPr>
        <w:t>2.学生发表的学术论文、获奖成果、国家专利等，都必须是本人在学期间以西北农林科技大学为第一署名单位发表或者获得。学术论文必须公开发表或已收到正式接收函。</w:t>
      </w:r>
    </w:p>
    <w:p w14:paraId="2CE161AB">
      <w:pPr>
        <w:widowControl/>
        <w:snapToGrid w:val="0"/>
        <w:spacing w:line="360" w:lineRule="auto" w:before="160" w:after="80"/>
        <w:ind w:firstLine="0"/>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sz w:val="28"/>
          <w:highlight w:val="none"/>
        </w:rPr>
        <w:t>3.综合发展加分项必须是本人在学校期间获得的荣誉奖励。</w:t>
      </w:r>
    </w:p>
    <w:p w14:paraId="7462B06D">
      <w:pPr>
        <w:widowControl/>
        <w:snapToGrid w:val="0"/>
        <w:spacing w:line="360" w:lineRule="auto" w:before="0" w:after="80"/>
        <w:ind w:firstLine="482"/>
        <w:jc w:val="both"/>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val="0"/>
          <w:sz w:val="24"/>
          <w:highlight w:val="none"/>
        </w:rPr>
        <w:t>4.所有加分项目以学生提供的证书、论文首页、论文接收函等原件为依据，照片、扫描件、传真件不作为加分依据，报名截止后，若审查发现支撑材料缺失，视为主动放弃推免资格。</w:t>
      </w:r>
    </w:p>
    <w:p w14:paraId="1644ABC1">
      <w:pPr>
        <w:widowControl/>
        <w:snapToGrid w:val="0"/>
        <w:spacing w:line="360" w:lineRule="auto" w:before="160" w:after="80"/>
        <w:ind w:firstLine="0"/>
        <w:jc w:val="left"/>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ascii="Times New Roman" w:hAnsi="Times New Roman" w:eastAsia="宋体"/>
          <w:b/>
          <w:sz w:val="28"/>
          <w:highlight w:val="none"/>
        </w:rPr>
        <w:t>5.科研加分累计不超过50分。</w:t>
      </w:r>
    </w:p>
    <w:p w14:paraId="1AD8E519">
      <w:pPr>
        <w:widowControl/>
        <w:snapToGrid w:val="0"/>
        <w:rPr>
          <w:rFonts w:hint="eastAsia" w:asciiTheme="minorEastAsia" w:hAnsiTheme="minorEastAsia" w:eastAsiaTheme="minorEastAsia" w:cstheme="minorEastAsia"/>
          <w:sz w:val="24"/>
          <w:highlight w:val="none"/>
        </w:rPr>
      </w:pPr>
    </w:p>
    <w:p w14:paraId="1F899513">
      <w:pPr>
        <w:widowControl/>
        <w:snapToGrid w:val="0"/>
        <w:rPr>
          <w:rFonts w:hint="eastAsia" w:asciiTheme="minorEastAsia" w:hAnsiTheme="minorEastAsia" w:eastAsiaTheme="minorEastAsia" w:cstheme="minorEastAsia"/>
          <w:sz w:val="24"/>
          <w:highlight w:val="none"/>
        </w:rPr>
      </w:pPr>
    </w:p>
    <w:p w14:paraId="62D74C85">
      <w:pPr>
        <w:widowControl/>
        <w:snapToGrid w:val="0"/>
        <w:rPr>
          <w:rFonts w:hint="eastAsia" w:asciiTheme="minorEastAsia" w:hAnsiTheme="minorEastAsia" w:eastAsiaTheme="minorEastAsia" w:cstheme="minorEastAsia"/>
          <w:sz w:val="24"/>
          <w:highlight w:val="none"/>
        </w:rPr>
      </w:pPr>
    </w:p>
    <w:p w14:paraId="6F732E73">
      <w:pPr>
        <w:widowControl/>
        <w:snapToGrid w:val="0"/>
        <w:rPr>
          <w:rFonts w:hint="eastAsia" w:asciiTheme="minorEastAsia" w:hAnsiTheme="minorEastAsia" w:eastAsiaTheme="minorEastAsia" w:cstheme="minorEastAsia"/>
          <w:sz w:val="24"/>
          <w:highlight w:val="none"/>
        </w:rPr>
      </w:pPr>
    </w:p>
    <w:p w14:paraId="0C06FE1A">
      <w:pPr>
        <w:widowControl/>
        <w:snapToGrid w:val="0"/>
        <w:rPr>
          <w:rFonts w:hint="eastAsia" w:asciiTheme="minorEastAsia" w:hAnsiTheme="minorEastAsia" w:eastAsiaTheme="minorEastAsia" w:cstheme="minorEastAsia"/>
          <w:sz w:val="24"/>
          <w:highlight w:val="none"/>
        </w:rPr>
      </w:pPr>
    </w:p>
    <w:p w14:paraId="05A93EEC">
      <w:pPr>
        <w:widowControl/>
        <w:snapToGrid w:val="0"/>
        <w:rPr>
          <w:rFonts w:hint="eastAsia" w:asciiTheme="minorEastAsia" w:hAnsiTheme="minorEastAsia" w:eastAsiaTheme="minorEastAsia" w:cstheme="minorEastAsia"/>
          <w:sz w:val="24"/>
          <w:highlight w:val="none"/>
        </w:rPr>
      </w:pPr>
    </w:p>
    <w:p w14:paraId="44E02B3C">
      <w:pPr>
        <w:widowControl/>
        <w:snapToGrid w:val="0"/>
        <w:rPr>
          <w:rFonts w:hint="eastAsia" w:asciiTheme="minorEastAsia" w:hAnsiTheme="minorEastAsia" w:eastAsiaTheme="minorEastAsia" w:cstheme="minorEastAsia"/>
          <w:sz w:val="24"/>
          <w:highlight w:val="none"/>
        </w:rPr>
      </w:pPr>
    </w:p>
    <w:p w14:paraId="641F7570">
      <w:pPr>
        <w:widowControl/>
        <w:snapToGrid w:val="0"/>
        <w:rPr>
          <w:rFonts w:hint="eastAsia" w:asciiTheme="minorEastAsia" w:hAnsiTheme="minorEastAsia" w:eastAsiaTheme="minorEastAsia" w:cstheme="minorEastAsia"/>
          <w:sz w:val="24"/>
          <w:highlight w:val="none"/>
        </w:rPr>
      </w:pPr>
    </w:p>
    <w:p w14:paraId="2878E327">
      <w:pPr>
        <w:widowControl/>
        <w:snapToGrid w:val="0"/>
        <w:rPr>
          <w:rFonts w:hint="eastAsia" w:asciiTheme="minorEastAsia" w:hAnsiTheme="minorEastAsia" w:eastAsiaTheme="minorEastAsia" w:cstheme="minorEastAsia"/>
          <w:sz w:val="24"/>
          <w:highlight w:val="none"/>
        </w:rPr>
      </w:pPr>
    </w:p>
    <w:p w14:paraId="79DC508C">
      <w:pPr>
        <w:widowControl/>
        <w:snapToGrid w:val="0"/>
        <w:rPr>
          <w:rFonts w:hint="eastAsia" w:asciiTheme="minorEastAsia" w:hAnsiTheme="minorEastAsia" w:eastAsiaTheme="minorEastAsia" w:cstheme="minorEastAsia"/>
          <w:sz w:val="24"/>
          <w:highlight w:val="none"/>
        </w:rPr>
      </w:pPr>
    </w:p>
    <w:p w14:paraId="017FDEB9">
      <w:pPr>
        <w:widowControl/>
        <w:snapToGrid w:val="0"/>
        <w:rPr>
          <w:rFonts w:hint="eastAsia" w:asciiTheme="minorEastAsia" w:hAnsiTheme="minorEastAsia" w:eastAsiaTheme="minorEastAsia" w:cstheme="minorEastAsia"/>
          <w:sz w:val="24"/>
          <w:highlight w:val="none"/>
        </w:rPr>
      </w:pPr>
    </w:p>
    <w:p w14:paraId="61062286">
      <w:pPr>
        <w:widowControl/>
        <w:snapToGrid w:val="0"/>
        <w:rPr>
          <w:rFonts w:hint="eastAsia" w:asciiTheme="minorEastAsia" w:hAnsiTheme="minorEastAsia" w:eastAsiaTheme="minorEastAsia" w:cstheme="minorEastAsia"/>
          <w:sz w:val="24"/>
          <w:highlight w:val="none"/>
        </w:rPr>
      </w:pPr>
    </w:p>
    <w:p w14:paraId="7503A6E3">
      <w:pPr>
        <w:widowControl/>
        <w:snapToGrid w:val="0"/>
        <w:rPr>
          <w:rFonts w:hint="eastAsia" w:asciiTheme="minorEastAsia" w:hAnsiTheme="minorEastAsia" w:eastAsiaTheme="minorEastAsia" w:cstheme="minorEastAsia"/>
          <w:sz w:val="24"/>
          <w:highlight w:val="none"/>
        </w:rPr>
      </w:pPr>
    </w:p>
    <w:p w14:paraId="1B545B59">
      <w:pPr>
        <w:widowControl/>
        <w:snapToGrid w:val="0"/>
        <w:rPr>
          <w:rFonts w:hint="eastAsia" w:asciiTheme="minorEastAsia" w:hAnsiTheme="minorEastAsia" w:eastAsiaTheme="minorEastAsia" w:cstheme="minorEastAsia"/>
          <w:sz w:val="24"/>
          <w:highlight w:val="none"/>
        </w:rPr>
      </w:pPr>
    </w:p>
    <w:p w14:paraId="7927E913">
      <w:pPr>
        <w:widowControl/>
        <w:snapToGrid w:val="0"/>
        <w:rPr>
          <w:rFonts w:hint="eastAsia" w:asciiTheme="minorEastAsia" w:hAnsiTheme="minorEastAsia" w:eastAsiaTheme="minorEastAsia" w:cstheme="minorEastAsia"/>
          <w:sz w:val="24"/>
          <w:highlight w:val="none"/>
        </w:rPr>
      </w:pPr>
    </w:p>
    <w:p w14:paraId="0B1367B2">
      <w:pPr>
        <w:widowControl/>
        <w:snapToGrid w:val="0"/>
        <w:rPr>
          <w:rFonts w:hint="eastAsia" w:asciiTheme="minorEastAsia" w:hAnsiTheme="minorEastAsia" w:eastAsiaTheme="minorEastAsia" w:cstheme="minorEastAsia"/>
          <w:sz w:val="24"/>
          <w:highlight w:val="none"/>
        </w:rPr>
      </w:pPr>
    </w:p>
    <w:p w14:paraId="79E6461C">
      <w:pPr>
        <w:pageBreakBefore/>
        <w:widowControl/>
        <w:snapToGrid w:val="0"/>
        <w:spacing w:before="0" w:beforeLines="50" w:after="80" w:afterLines="50" w:line="360" w:lineRule="auto"/>
        <w:ind w:firstLine="482"/>
        <w:jc w:val="both"/>
        <w:rPr>
          <w:rFonts w:hint="eastAsia" w:ascii="仿宋" w:hAnsi="仿宋" w:eastAsia="仿宋" w:cs="仿宋"/>
          <w:b/>
          <w:bCs/>
          <w:color w:val="000000" w:themeColor="text1"/>
          <w:sz w:val="32"/>
          <w:szCs w:val="32"/>
          <w:highlight w:val="none"/>
          <w14:textFill>
            <w14:solidFill>
              <w14:schemeClr w14:val="tx1"/>
            </w14:solidFill>
          </w14:textFill>
        </w:rPr>
      </w:pPr>
      <w:r>
        <w:rPr>
          <w:rFonts w:hint="eastAsia" w:ascii="Times New Roman" w:hAnsi="Times New Roman" w:eastAsia="宋体" w:cs="黑体"/>
          <w:b w:val="0"/>
          <w:sz w:val="24"/>
          <w:szCs w:val="32"/>
          <w:highlight w:val="none"/>
          <w:lang w:val="en-US" w:eastAsia="zh-CN"/>
        </w:rPr>
        <w:t xml:space="preserve">附件2：         </w:t>
      </w:r>
      <w:r>
        <w:rPr>
          <w:rFonts w:hint="eastAsia" w:ascii="Times New Roman" w:hAnsi="Times New Roman" w:eastAsia="宋体" w:cs="仿宋"/>
          <w:b w:val="0"/>
          <w:bCs/>
          <w:sz w:val="24"/>
          <w:szCs w:val="32"/>
          <w:highlight w:val="none"/>
        </w:rPr>
        <w:t>生物科学基地班科研潜质加分细则</w:t>
      </w:r>
    </w:p>
    <w:tbl>
      <w:tblPr>
        <w:tblStyle w:val="6"/>
        <w:tblpPr w:leftFromText="180" w:rightFromText="180" w:vertAnchor="text" w:tblpXSpec="center" w:tblpY="1"/>
        <w:tblOverlap w:val="never"/>
        <w:tblW w:w="9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8024"/>
      </w:tblGrid>
      <w:tr w14:paraId="12BFE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exact"/>
          <w:tblHeader/>
        </w:trPr>
        <w:tc>
          <w:tcPr>
            <w:tcW w:w="1271" w:type="dxa"/>
            <w:vAlign w:val="center"/>
          </w:tcPr>
          <w:p w14:paraId="121CA792">
            <w:pPr>
              <w:widowControl/>
              <w:snapToGrid w:val="0"/>
              <w:spacing w:line="276" w:lineRule="auto" w:before="0" w:after="0"/>
              <w:ind w:firstLine="0"/>
              <w:jc w:val="center"/>
              <w:rPr>
                <w:rFonts w:ascii="Times New Roman" w:hAnsi="Times New Roman" w:eastAsia="宋体" w:cs="Times New Roman"/>
                <w:b/>
                <w:bCs/>
                <w:sz w:val="24"/>
                <w:highlight w:val="none"/>
              </w:rPr>
            </w:pPr>
            <w:r>
              <w:rPr>
                <w:rFonts w:ascii="Times New Roman" w:hAnsi="Times New Roman" w:eastAsia="宋体" w:cs="Times New Roman"/>
                <w:b w:val="0"/>
                <w:bCs/>
                <w:sz w:val="21"/>
                <w:highlight w:val="none"/>
              </w:rPr>
              <w:t>考核指标</w:t>
            </w:r>
          </w:p>
        </w:tc>
        <w:tc>
          <w:tcPr>
            <w:tcW w:w="8024" w:type="dxa"/>
            <w:vAlign w:val="center"/>
          </w:tcPr>
          <w:p w14:paraId="70554834">
            <w:pPr>
              <w:widowControl/>
              <w:snapToGrid w:val="0"/>
              <w:spacing w:line="276" w:lineRule="auto" w:before="0" w:after="0"/>
              <w:ind w:firstLine="0"/>
              <w:jc w:val="center"/>
              <w:rPr>
                <w:rFonts w:ascii="Times New Roman" w:hAnsi="Times New Roman" w:eastAsia="宋体" w:cs="Times New Roman"/>
                <w:b/>
                <w:bCs/>
                <w:sz w:val="24"/>
                <w:highlight w:val="none"/>
              </w:rPr>
            </w:pPr>
            <w:r>
              <w:rPr>
                <w:rFonts w:ascii="Times New Roman" w:hAnsi="Times New Roman" w:eastAsia="宋体" w:cs="Times New Roman"/>
                <w:b w:val="0"/>
                <w:bCs/>
                <w:sz w:val="21"/>
                <w:highlight w:val="none"/>
              </w:rPr>
              <w:t>加分项目</w:t>
            </w:r>
          </w:p>
        </w:tc>
      </w:tr>
      <w:tr w14:paraId="69FE3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3" w:hRule="exact"/>
        </w:trPr>
        <w:tc>
          <w:tcPr>
            <w:tcW w:w="1271" w:type="dxa"/>
            <w:vAlign w:val="center"/>
          </w:tcPr>
          <w:p w14:paraId="680BDAFB">
            <w:pPr>
              <w:widowControl/>
              <w:snapToGrid w:val="0"/>
              <w:spacing w:line="276" w:lineRule="auto" w:before="0" w:after="0"/>
              <w:ind w:firstLine="0"/>
              <w:jc w:val="center"/>
              <w:rPr>
                <w:rFonts w:ascii="Times New Roman" w:hAnsi="Times New Roman" w:eastAsia="宋体" w:cs="Times New Roman"/>
                <w:sz w:val="24"/>
                <w:highlight w:val="none"/>
              </w:rPr>
            </w:pPr>
            <w:r>
              <w:rPr>
                <w:rFonts w:ascii="Times New Roman" w:hAnsi="Times New Roman" w:eastAsia="宋体" w:cs="Times New Roman"/>
                <w:b w:val="0"/>
                <w:sz w:val="21"/>
                <w:highlight w:val="none"/>
              </w:rPr>
              <w:t>科技竞赛</w:t>
            </w:r>
          </w:p>
          <w:p w14:paraId="29DCB071">
            <w:pPr>
              <w:widowControl/>
              <w:snapToGrid w:val="0"/>
              <w:spacing w:line="276" w:lineRule="auto" w:before="0" w:after="0"/>
              <w:ind w:firstLine="0"/>
              <w:jc w:val="center"/>
              <w:rPr>
                <w:rFonts w:ascii="Times New Roman" w:hAnsi="Times New Roman" w:eastAsia="宋体" w:cs="Times New Roman"/>
                <w:sz w:val="24"/>
                <w:highlight w:val="none"/>
              </w:rPr>
            </w:pPr>
            <w:r>
              <w:rPr>
                <w:rFonts w:ascii="Times New Roman" w:hAnsi="Times New Roman" w:eastAsia="宋体" w:cs="Times New Roman"/>
                <w:b w:val="0"/>
                <w:sz w:val="21"/>
                <w:highlight w:val="none"/>
              </w:rPr>
              <w:t>（10分）</w:t>
            </w:r>
          </w:p>
        </w:tc>
        <w:tc>
          <w:tcPr>
            <w:tcW w:w="8024" w:type="dxa"/>
            <w:vAlign w:val="center"/>
          </w:tcPr>
          <w:p w14:paraId="5D249166">
            <w:pPr>
              <w:widowControl/>
              <w:snapToGrid w:val="0"/>
              <w:spacing w:line="276" w:lineRule="auto" w:before="0" w:after="0"/>
              <w:ind w:firstLineChars="200" w:firstLine="0"/>
              <w:jc w:val="left"/>
              <w:rPr>
                <w:rFonts w:hint="eastAsia" w:ascii="Times New Roman" w:hAnsi="Times New Roman" w:eastAsia="宋体" w:cs="Times New Roman"/>
                <w:sz w:val="24"/>
                <w:highlight w:val="none"/>
                <w:lang w:eastAsia="zh-CN"/>
              </w:rPr>
            </w:pPr>
            <w:r>
              <w:rPr>
                <w:rFonts w:ascii="Times New Roman" w:hAnsi="Times New Roman" w:eastAsia="宋体" w:cs="Times New Roman"/>
                <w:b w:val="0"/>
                <w:sz w:val="21"/>
                <w:highlight w:val="none"/>
              </w:rPr>
              <w:t>在国家级学术科技竞赛（具体项目见《西北农林科技大学国家级学科竞赛目录</w:t>
            </w:r>
            <w:r>
              <w:rPr>
                <w:rFonts w:hint="eastAsia" w:ascii="Times New Roman" w:hAnsi="Times New Roman" w:eastAsia="宋体" w:cs="Times New Roman"/>
                <w:b w:val="0"/>
                <w:sz w:val="21"/>
                <w:highlight w:val="none"/>
              </w:rPr>
              <w:t>》</w:t>
            </w:r>
            <w:r>
              <w:rPr>
                <w:rFonts w:ascii="Times New Roman" w:hAnsi="Times New Roman" w:eastAsia="宋体" w:cs="Times New Roman"/>
                <w:b w:val="0"/>
                <w:sz w:val="21"/>
                <w:highlight w:val="none"/>
              </w:rPr>
              <w:t>）中，A类学科竞赛获得国家级</w:t>
            </w:r>
            <w:r>
              <w:rPr>
                <w:rFonts w:hint="eastAsia" w:ascii="Times New Roman" w:hAnsi="Times New Roman" w:eastAsia="宋体" w:cs="Times New Roman"/>
                <w:b w:val="0"/>
                <w:sz w:val="21"/>
                <w:highlight w:val="none"/>
                <w:lang w:val="en-US" w:eastAsia="zh-CN"/>
              </w:rPr>
              <w:t>特等奖、</w:t>
            </w:r>
            <w:r>
              <w:rPr>
                <w:rFonts w:ascii="Times New Roman" w:hAnsi="Times New Roman" w:eastAsia="宋体" w:cs="Times New Roman"/>
                <w:b w:val="0"/>
                <w:sz w:val="21"/>
                <w:highlight w:val="none"/>
              </w:rPr>
              <w:t>一等</w:t>
            </w:r>
            <w:r>
              <w:rPr>
                <w:rFonts w:hint="eastAsia" w:ascii="Times New Roman" w:hAnsi="Times New Roman" w:eastAsia="宋体" w:cs="Times New Roman"/>
                <w:b w:val="0"/>
                <w:sz w:val="21"/>
                <w:highlight w:val="none"/>
              </w:rPr>
              <w:t>奖</w:t>
            </w:r>
            <w:r>
              <w:rPr>
                <w:rFonts w:ascii="Times New Roman" w:hAnsi="Times New Roman" w:eastAsia="宋体" w:cs="Times New Roman"/>
                <w:b w:val="0"/>
                <w:sz w:val="21"/>
                <w:highlight w:val="none"/>
              </w:rPr>
              <w:t>（金奖）、二等</w:t>
            </w:r>
            <w:r>
              <w:rPr>
                <w:rFonts w:hint="eastAsia" w:ascii="Times New Roman" w:hAnsi="Times New Roman" w:eastAsia="宋体" w:cs="Times New Roman"/>
                <w:b w:val="0"/>
                <w:sz w:val="21"/>
                <w:highlight w:val="none"/>
              </w:rPr>
              <w:t>奖</w:t>
            </w:r>
            <w:r>
              <w:rPr>
                <w:rFonts w:ascii="Times New Roman" w:hAnsi="Times New Roman" w:eastAsia="宋体" w:cs="Times New Roman"/>
                <w:b w:val="0"/>
                <w:sz w:val="21"/>
                <w:highlight w:val="none"/>
              </w:rPr>
              <w:t>（银奖）和三等奖（铜奖），分别加10、8</w:t>
            </w:r>
            <w:r>
              <w:rPr>
                <w:rFonts w:hint="eastAsia" w:ascii="Times New Roman" w:hAnsi="Times New Roman" w:eastAsia="宋体" w:cs="Times New Roman"/>
                <w:b w:val="0"/>
                <w:sz w:val="21"/>
                <w:highlight w:val="none"/>
                <w:lang w:eastAsia="zh-CN"/>
              </w:rPr>
              <w:t>、</w:t>
            </w:r>
            <w:r>
              <w:rPr>
                <w:rFonts w:hint="eastAsia" w:ascii="Times New Roman" w:hAnsi="Times New Roman" w:eastAsia="宋体" w:cs="Times New Roman"/>
                <w:b w:val="0"/>
                <w:sz w:val="21"/>
                <w:highlight w:val="none"/>
                <w:lang w:val="en-US" w:eastAsia="zh-CN"/>
              </w:rPr>
              <w:t>6和4</w:t>
            </w:r>
            <w:r>
              <w:rPr>
                <w:rFonts w:hint="eastAsia" w:ascii="Times New Roman" w:hAnsi="Times New Roman" w:eastAsia="宋体" w:cs="Times New Roman"/>
                <w:b w:val="0"/>
                <w:sz w:val="21"/>
                <w:highlight w:val="none"/>
              </w:rPr>
              <w:t>分；</w:t>
            </w:r>
            <w:r>
              <w:rPr>
                <w:rFonts w:ascii="Times New Roman" w:hAnsi="Times New Roman" w:eastAsia="宋体" w:cs="Times New Roman"/>
                <w:b w:val="0"/>
                <w:sz w:val="21"/>
                <w:highlight w:val="none"/>
              </w:rPr>
              <w:t>B类学科竞赛获得国家级</w:t>
            </w:r>
            <w:r>
              <w:rPr>
                <w:rFonts w:hint="eastAsia" w:ascii="Times New Roman" w:hAnsi="Times New Roman" w:eastAsia="宋体" w:cs="Times New Roman"/>
                <w:b w:val="0"/>
                <w:sz w:val="21"/>
                <w:highlight w:val="none"/>
                <w:lang w:val="en-US" w:eastAsia="zh-CN"/>
              </w:rPr>
              <w:t>特等奖、</w:t>
            </w:r>
            <w:r>
              <w:rPr>
                <w:rFonts w:ascii="Times New Roman" w:hAnsi="Times New Roman" w:eastAsia="宋体" w:cs="Times New Roman"/>
                <w:b w:val="0"/>
                <w:sz w:val="21"/>
                <w:highlight w:val="none"/>
              </w:rPr>
              <w:t>一等</w:t>
            </w:r>
            <w:r>
              <w:rPr>
                <w:rFonts w:hint="eastAsia" w:ascii="Times New Roman" w:hAnsi="Times New Roman" w:eastAsia="宋体" w:cs="Times New Roman"/>
                <w:b w:val="0"/>
                <w:sz w:val="21"/>
                <w:highlight w:val="none"/>
              </w:rPr>
              <w:t>奖</w:t>
            </w:r>
            <w:r>
              <w:rPr>
                <w:rFonts w:ascii="Times New Roman" w:hAnsi="Times New Roman" w:eastAsia="宋体" w:cs="Times New Roman"/>
                <w:b w:val="0"/>
                <w:sz w:val="21"/>
                <w:highlight w:val="none"/>
              </w:rPr>
              <w:t>（金奖）、二等</w:t>
            </w:r>
            <w:r>
              <w:rPr>
                <w:rFonts w:hint="eastAsia" w:ascii="Times New Roman" w:hAnsi="Times New Roman" w:eastAsia="宋体" w:cs="Times New Roman"/>
                <w:b w:val="0"/>
                <w:sz w:val="21"/>
                <w:highlight w:val="none"/>
              </w:rPr>
              <w:t>奖</w:t>
            </w:r>
            <w:r>
              <w:rPr>
                <w:rFonts w:ascii="Times New Roman" w:hAnsi="Times New Roman" w:eastAsia="宋体" w:cs="Times New Roman"/>
                <w:b w:val="0"/>
                <w:sz w:val="21"/>
                <w:highlight w:val="none"/>
              </w:rPr>
              <w:t>（银奖）和三等奖（铜奖），分别加</w:t>
            </w:r>
            <w:r>
              <w:rPr>
                <w:rFonts w:hint="eastAsia" w:ascii="Times New Roman" w:hAnsi="Times New Roman" w:eastAsia="宋体" w:cs="Times New Roman"/>
                <w:b w:val="0"/>
                <w:sz w:val="21"/>
                <w:highlight w:val="none"/>
                <w:lang w:val="en-US" w:eastAsia="zh-CN"/>
              </w:rPr>
              <w:t>8</w:t>
            </w:r>
            <w:r>
              <w:rPr>
                <w:rFonts w:ascii="Times New Roman" w:hAnsi="Times New Roman" w:eastAsia="宋体" w:cs="Times New Roman"/>
                <w:b w:val="0"/>
                <w:sz w:val="21"/>
                <w:highlight w:val="none"/>
              </w:rPr>
              <w:t>、</w:t>
            </w:r>
            <w:r>
              <w:rPr>
                <w:rFonts w:hint="eastAsia" w:ascii="Times New Roman" w:hAnsi="Times New Roman" w:eastAsia="宋体" w:cs="Times New Roman"/>
                <w:b w:val="0"/>
                <w:sz w:val="21"/>
                <w:highlight w:val="none"/>
                <w:lang w:val="en-US" w:eastAsia="zh-CN"/>
              </w:rPr>
              <w:t>6、4</w:t>
            </w:r>
            <w:r>
              <w:rPr>
                <w:rFonts w:hint="eastAsia" w:ascii="Times New Roman" w:hAnsi="Times New Roman" w:eastAsia="宋体" w:cs="Times New Roman"/>
                <w:b w:val="0"/>
                <w:sz w:val="21"/>
                <w:highlight w:val="none"/>
              </w:rPr>
              <w:t>和</w:t>
            </w:r>
            <w:r>
              <w:rPr>
                <w:rFonts w:hint="eastAsia" w:ascii="Times New Roman" w:hAnsi="Times New Roman" w:eastAsia="宋体" w:cs="Times New Roman"/>
                <w:b w:val="0"/>
                <w:sz w:val="21"/>
                <w:highlight w:val="none"/>
                <w:lang w:val="en-US" w:eastAsia="zh-CN"/>
              </w:rPr>
              <w:t>2分</w:t>
            </w:r>
            <w:r>
              <w:rPr>
                <w:rFonts w:hint="eastAsia" w:ascii="Times New Roman" w:hAnsi="Times New Roman" w:eastAsia="宋体" w:cs="Times New Roman"/>
                <w:b w:val="0"/>
                <w:sz w:val="21"/>
                <w:highlight w:val="none"/>
                <w:lang w:eastAsia="zh-CN"/>
              </w:rPr>
              <w:t>；</w:t>
            </w:r>
            <w:r>
              <w:rPr>
                <w:rFonts w:ascii="Times New Roman" w:hAnsi="Times New Roman" w:eastAsia="宋体" w:cs="Times New Roman"/>
                <w:b w:val="0"/>
                <w:sz w:val="21"/>
                <w:highlight w:val="none"/>
              </w:rPr>
              <w:t>C类学科竞赛获得国家级</w:t>
            </w:r>
            <w:r>
              <w:rPr>
                <w:rFonts w:hint="eastAsia" w:ascii="Times New Roman" w:hAnsi="Times New Roman" w:eastAsia="宋体" w:cs="Times New Roman"/>
                <w:b w:val="0"/>
                <w:sz w:val="21"/>
                <w:highlight w:val="none"/>
                <w:lang w:val="en-US" w:eastAsia="zh-CN"/>
              </w:rPr>
              <w:t>特等奖、</w:t>
            </w:r>
            <w:r>
              <w:rPr>
                <w:rFonts w:ascii="Times New Roman" w:hAnsi="Times New Roman" w:eastAsia="宋体" w:cs="Times New Roman"/>
                <w:b w:val="0"/>
                <w:sz w:val="21"/>
                <w:highlight w:val="none"/>
              </w:rPr>
              <w:t>一等</w:t>
            </w:r>
            <w:r>
              <w:rPr>
                <w:rFonts w:hint="eastAsia" w:ascii="Times New Roman" w:hAnsi="Times New Roman" w:eastAsia="宋体" w:cs="Times New Roman"/>
                <w:b w:val="0"/>
                <w:sz w:val="21"/>
                <w:highlight w:val="none"/>
              </w:rPr>
              <w:t>奖</w:t>
            </w:r>
            <w:r>
              <w:rPr>
                <w:rFonts w:ascii="Times New Roman" w:hAnsi="Times New Roman" w:eastAsia="宋体" w:cs="Times New Roman"/>
                <w:b w:val="0"/>
                <w:sz w:val="21"/>
                <w:highlight w:val="none"/>
              </w:rPr>
              <w:t>（金奖）</w:t>
            </w:r>
            <w:r>
              <w:rPr>
                <w:rFonts w:hint="eastAsia" w:ascii="Times New Roman" w:hAnsi="Times New Roman" w:eastAsia="宋体" w:cs="Times New Roman"/>
                <w:b w:val="0"/>
                <w:sz w:val="21"/>
                <w:highlight w:val="none"/>
                <w:lang w:val="en-US" w:eastAsia="zh-CN"/>
              </w:rPr>
              <w:t>和</w:t>
            </w:r>
            <w:r>
              <w:rPr>
                <w:rFonts w:ascii="Times New Roman" w:hAnsi="Times New Roman" w:eastAsia="宋体" w:cs="Times New Roman"/>
                <w:b w:val="0"/>
                <w:sz w:val="21"/>
                <w:highlight w:val="none"/>
              </w:rPr>
              <w:t>二等</w:t>
            </w:r>
            <w:r>
              <w:rPr>
                <w:rFonts w:hint="eastAsia" w:ascii="Times New Roman" w:hAnsi="Times New Roman" w:eastAsia="宋体" w:cs="Times New Roman"/>
                <w:b w:val="0"/>
                <w:sz w:val="21"/>
                <w:highlight w:val="none"/>
              </w:rPr>
              <w:t>奖</w:t>
            </w:r>
            <w:r>
              <w:rPr>
                <w:rFonts w:ascii="Times New Roman" w:hAnsi="Times New Roman" w:eastAsia="宋体" w:cs="Times New Roman"/>
                <w:b w:val="0"/>
                <w:sz w:val="21"/>
                <w:highlight w:val="none"/>
              </w:rPr>
              <w:t>（银奖），分别加</w:t>
            </w:r>
            <w:r>
              <w:rPr>
                <w:rFonts w:hint="eastAsia" w:ascii="Times New Roman" w:hAnsi="Times New Roman" w:eastAsia="宋体" w:cs="Times New Roman"/>
                <w:b w:val="0"/>
                <w:sz w:val="21"/>
                <w:highlight w:val="none"/>
                <w:lang w:val="en-US" w:eastAsia="zh-CN"/>
              </w:rPr>
              <w:t>6</w:t>
            </w:r>
            <w:r>
              <w:rPr>
                <w:rFonts w:ascii="Times New Roman" w:hAnsi="Times New Roman" w:eastAsia="宋体" w:cs="Times New Roman"/>
                <w:b w:val="0"/>
                <w:sz w:val="21"/>
                <w:highlight w:val="none"/>
              </w:rPr>
              <w:t>、</w:t>
            </w:r>
            <w:r>
              <w:rPr>
                <w:rFonts w:hint="eastAsia" w:ascii="Times New Roman" w:hAnsi="Times New Roman" w:eastAsia="宋体" w:cs="Times New Roman"/>
                <w:b w:val="0"/>
                <w:sz w:val="21"/>
                <w:highlight w:val="none"/>
                <w:lang w:val="en-US" w:eastAsia="zh-CN"/>
              </w:rPr>
              <w:t>4和2分</w:t>
            </w:r>
            <w:r>
              <w:rPr>
                <w:rFonts w:hint="eastAsia" w:ascii="Times New Roman" w:hAnsi="Times New Roman" w:eastAsia="宋体" w:cs="Times New Roman"/>
                <w:b w:val="0"/>
                <w:sz w:val="21"/>
                <w:highlight w:val="none"/>
                <w:lang w:eastAsia="zh-CN"/>
              </w:rPr>
              <w:t>。</w:t>
            </w:r>
          </w:p>
          <w:p w14:paraId="5A5DDF98">
            <w:pPr>
              <w:widowControl/>
              <w:numPr>
                <w:ilvl w:val="0"/>
                <w:numId w:val="0"/>
              </w:numPr>
              <w:snapToGrid w:val="0"/>
              <w:spacing w:line="276" w:lineRule="auto" w:before="0" w:after="0"/>
              <w:ind w:firstLineChars="200" w:firstLine="0"/>
              <w:jc w:val="left"/>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b w:val="0"/>
                <w:sz w:val="21"/>
                <w:highlight w:val="none"/>
                <w:lang w:val="en-US" w:eastAsia="zh-CN"/>
              </w:rPr>
              <w:t>A</w:t>
            </w:r>
            <w:r>
              <w:rPr>
                <w:rFonts w:ascii="Times New Roman" w:hAnsi="Times New Roman" w:eastAsia="宋体" w:cs="Times New Roman"/>
                <w:b w:val="0"/>
                <w:sz w:val="21"/>
                <w:highlight w:val="none"/>
              </w:rPr>
              <w:t>类学科竞赛获省级特等、一等（金奖）、二等（银奖）和三等奖（铜奖），分别加</w:t>
            </w:r>
            <w:r>
              <w:rPr>
                <w:rFonts w:hint="eastAsia" w:ascii="Times New Roman" w:hAnsi="Times New Roman" w:eastAsia="宋体" w:cs="Times New Roman"/>
                <w:b w:val="0"/>
                <w:sz w:val="21"/>
                <w:highlight w:val="none"/>
                <w:lang w:val="en-US" w:eastAsia="zh-CN"/>
              </w:rPr>
              <w:t>6</w:t>
            </w:r>
            <w:r>
              <w:rPr>
                <w:rFonts w:ascii="Times New Roman" w:hAnsi="Times New Roman" w:eastAsia="宋体" w:cs="Times New Roman"/>
                <w:b w:val="0"/>
                <w:sz w:val="21"/>
                <w:highlight w:val="none"/>
              </w:rPr>
              <w:t>、</w:t>
            </w:r>
            <w:r>
              <w:rPr>
                <w:rFonts w:hint="eastAsia" w:ascii="Times New Roman" w:hAnsi="Times New Roman" w:eastAsia="宋体" w:cs="Times New Roman"/>
                <w:b w:val="0"/>
                <w:sz w:val="21"/>
                <w:highlight w:val="none"/>
                <w:lang w:val="en-US" w:eastAsia="zh-CN"/>
              </w:rPr>
              <w:t>4</w:t>
            </w:r>
            <w:r>
              <w:rPr>
                <w:rFonts w:ascii="Times New Roman" w:hAnsi="Times New Roman" w:eastAsia="宋体" w:cs="Times New Roman"/>
                <w:b w:val="0"/>
                <w:sz w:val="21"/>
                <w:highlight w:val="none"/>
              </w:rPr>
              <w:t>、</w:t>
            </w:r>
            <w:r>
              <w:rPr>
                <w:rFonts w:hint="eastAsia" w:ascii="Times New Roman" w:hAnsi="Times New Roman" w:eastAsia="宋体" w:cs="Times New Roman"/>
                <w:b w:val="0"/>
                <w:sz w:val="21"/>
                <w:highlight w:val="none"/>
                <w:lang w:val="en-US" w:eastAsia="zh-CN"/>
              </w:rPr>
              <w:t>2</w:t>
            </w:r>
            <w:r>
              <w:rPr>
                <w:rFonts w:ascii="Times New Roman" w:hAnsi="Times New Roman" w:eastAsia="宋体" w:cs="Times New Roman"/>
                <w:b w:val="0"/>
                <w:sz w:val="21"/>
                <w:highlight w:val="none"/>
              </w:rPr>
              <w:t>和</w:t>
            </w:r>
            <w:r>
              <w:rPr>
                <w:rFonts w:hint="eastAsia" w:ascii="Times New Roman" w:hAnsi="Times New Roman" w:eastAsia="宋体" w:cs="Times New Roman"/>
                <w:b w:val="0"/>
                <w:sz w:val="21"/>
                <w:highlight w:val="none"/>
                <w:lang w:val="en-US" w:eastAsia="zh-CN"/>
              </w:rPr>
              <w:t>1</w:t>
            </w:r>
            <w:r>
              <w:rPr>
                <w:rFonts w:ascii="Times New Roman" w:hAnsi="Times New Roman" w:eastAsia="宋体" w:cs="Times New Roman"/>
                <w:b w:val="0"/>
                <w:sz w:val="21"/>
                <w:highlight w:val="none"/>
              </w:rPr>
              <w:t>分</w:t>
            </w:r>
            <w:r>
              <w:rPr>
                <w:rFonts w:hint="eastAsia" w:ascii="Times New Roman" w:hAnsi="Times New Roman" w:eastAsia="宋体" w:cs="Times New Roman"/>
                <w:b w:val="0"/>
                <w:sz w:val="21"/>
                <w:highlight w:val="none"/>
                <w:lang w:eastAsia="zh-CN"/>
              </w:rPr>
              <w:t>；</w:t>
            </w:r>
            <w:r>
              <w:rPr>
                <w:rFonts w:hint="eastAsia" w:ascii="Times New Roman" w:hAnsi="Times New Roman" w:eastAsia="宋体" w:cs="Times New Roman"/>
                <w:b w:val="0"/>
                <w:sz w:val="21"/>
                <w:highlight w:val="none"/>
                <w:lang w:val="en-US" w:eastAsia="zh-CN"/>
              </w:rPr>
              <w:t>B</w:t>
            </w:r>
            <w:r>
              <w:rPr>
                <w:rFonts w:ascii="Times New Roman" w:hAnsi="Times New Roman" w:eastAsia="宋体" w:cs="Times New Roman"/>
                <w:b w:val="0"/>
                <w:sz w:val="21"/>
                <w:highlight w:val="none"/>
              </w:rPr>
              <w:t>类学科竞赛获省级特等、一等（金奖）</w:t>
            </w:r>
            <w:r>
              <w:rPr>
                <w:rFonts w:hint="eastAsia" w:ascii="Times New Roman" w:hAnsi="Times New Roman" w:eastAsia="宋体" w:cs="Times New Roman"/>
                <w:b w:val="0"/>
                <w:sz w:val="21"/>
                <w:highlight w:val="none"/>
                <w:lang w:val="en-US" w:eastAsia="zh-CN"/>
              </w:rPr>
              <w:t>和</w:t>
            </w:r>
            <w:r>
              <w:rPr>
                <w:rFonts w:ascii="Times New Roman" w:hAnsi="Times New Roman" w:eastAsia="宋体" w:cs="Times New Roman"/>
                <w:b w:val="0"/>
                <w:sz w:val="21"/>
                <w:highlight w:val="none"/>
              </w:rPr>
              <w:t>二等</w:t>
            </w:r>
            <w:r>
              <w:rPr>
                <w:rFonts w:hint="eastAsia" w:ascii="Times New Roman" w:hAnsi="Times New Roman" w:eastAsia="宋体" w:cs="Times New Roman"/>
                <w:b w:val="0"/>
                <w:sz w:val="21"/>
                <w:highlight w:val="none"/>
                <w:lang w:val="en-US" w:eastAsia="zh-CN"/>
              </w:rPr>
              <w:t>奖</w:t>
            </w:r>
            <w:r>
              <w:rPr>
                <w:rFonts w:ascii="Times New Roman" w:hAnsi="Times New Roman" w:eastAsia="宋体" w:cs="Times New Roman"/>
                <w:b w:val="0"/>
                <w:sz w:val="21"/>
                <w:highlight w:val="none"/>
              </w:rPr>
              <w:t>（银奖）分别加</w:t>
            </w:r>
            <w:r>
              <w:rPr>
                <w:rFonts w:hint="eastAsia" w:ascii="Times New Roman" w:hAnsi="Times New Roman" w:eastAsia="宋体" w:cs="Times New Roman"/>
                <w:b w:val="0"/>
                <w:sz w:val="21"/>
                <w:highlight w:val="none"/>
                <w:lang w:val="en-US" w:eastAsia="zh-CN"/>
              </w:rPr>
              <w:t>5、3和1分。</w:t>
            </w:r>
          </w:p>
          <w:p w14:paraId="1269B00D">
            <w:pPr>
              <w:widowControl/>
              <w:snapToGrid w:val="0"/>
              <w:spacing w:line="276" w:lineRule="auto" w:before="0" w:after="0"/>
              <w:ind w:firstLineChars="200" w:firstLine="0"/>
              <w:jc w:val="left"/>
              <w:rPr>
                <w:rFonts w:ascii="Times New Roman" w:hAnsi="Times New Roman" w:eastAsia="宋体" w:cs="Times New Roman"/>
                <w:sz w:val="24"/>
                <w:highlight w:val="none"/>
              </w:rPr>
            </w:pPr>
            <w:r>
              <w:rPr>
                <w:rFonts w:ascii="Times New Roman" w:hAnsi="Times New Roman" w:eastAsia="宋体" w:cs="Times New Roman"/>
                <w:b w:val="0"/>
                <w:sz w:val="21"/>
                <w:highlight w:val="none"/>
              </w:rPr>
              <w:t>团体项目得分均分给前五名参与者（A类学科竞赛）或前三名参与者（B、C类学科竞赛）。</w:t>
            </w:r>
          </w:p>
          <w:p w14:paraId="7B93A3C2">
            <w:pPr>
              <w:widowControl/>
              <w:snapToGrid w:val="0"/>
              <w:spacing w:line="276" w:lineRule="auto" w:before="0" w:after="0"/>
              <w:ind w:firstLineChars="200" w:firstLine="0"/>
              <w:jc w:val="left"/>
              <w:rPr>
                <w:rFonts w:ascii="Times New Roman" w:hAnsi="Times New Roman" w:eastAsia="宋体" w:cs="Times New Roman"/>
                <w:sz w:val="24"/>
                <w:highlight w:val="none"/>
              </w:rPr>
            </w:pPr>
            <w:r>
              <w:rPr>
                <w:rFonts w:ascii="Times New Roman" w:hAnsi="Times New Roman" w:eastAsia="宋体" w:cs="Times New Roman"/>
                <w:b w:val="0"/>
                <w:sz w:val="21"/>
                <w:highlight w:val="none"/>
              </w:rPr>
              <w:t>同一</w:t>
            </w:r>
            <w:r>
              <w:rPr>
                <w:rFonts w:hint="eastAsia" w:ascii="Times New Roman" w:hAnsi="Times New Roman" w:eastAsia="宋体" w:cs="Times New Roman"/>
                <w:b w:val="0"/>
                <w:sz w:val="21"/>
                <w:highlight w:val="none"/>
              </w:rPr>
              <w:t>项目</w:t>
            </w:r>
            <w:r>
              <w:rPr>
                <w:rFonts w:ascii="Times New Roman" w:hAnsi="Times New Roman" w:eastAsia="宋体" w:cs="Times New Roman"/>
                <w:b w:val="0"/>
                <w:sz w:val="21"/>
                <w:highlight w:val="none"/>
              </w:rPr>
              <w:t>不重复加分，累计加分不超过10分。</w:t>
            </w:r>
          </w:p>
        </w:tc>
      </w:tr>
      <w:tr w14:paraId="2760C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trPr>
        <w:tc>
          <w:tcPr>
            <w:tcW w:w="1271" w:type="dxa"/>
            <w:vAlign w:val="center"/>
          </w:tcPr>
          <w:p w14:paraId="596F0033">
            <w:pPr>
              <w:widowControl/>
              <w:snapToGrid w:val="0"/>
              <w:spacing w:line="276" w:lineRule="auto" w:before="0" w:after="0"/>
              <w:ind w:firstLine="0"/>
              <w:jc w:val="center"/>
              <w:rPr>
                <w:rFonts w:ascii="Times New Roman" w:hAnsi="Times New Roman" w:eastAsia="宋体" w:cs="Times New Roman"/>
                <w:sz w:val="24"/>
                <w:highlight w:val="none"/>
              </w:rPr>
            </w:pPr>
            <w:r>
              <w:rPr>
                <w:rFonts w:ascii="Times New Roman" w:hAnsi="Times New Roman" w:eastAsia="宋体" w:cs="Times New Roman"/>
                <w:b w:val="0"/>
                <w:sz w:val="21"/>
                <w:highlight w:val="none"/>
              </w:rPr>
              <w:t>学术研究</w:t>
            </w:r>
          </w:p>
          <w:p w14:paraId="1267972C">
            <w:pPr>
              <w:widowControl/>
              <w:snapToGrid w:val="0"/>
              <w:spacing w:line="276" w:lineRule="auto" w:before="0" w:after="0"/>
              <w:ind w:firstLine="0"/>
              <w:jc w:val="center"/>
              <w:rPr>
                <w:rFonts w:ascii="Times New Roman" w:hAnsi="Times New Roman" w:eastAsia="宋体" w:cs="Times New Roman"/>
                <w:sz w:val="24"/>
                <w:highlight w:val="none"/>
              </w:rPr>
            </w:pPr>
            <w:r>
              <w:rPr>
                <w:rFonts w:ascii="Times New Roman" w:hAnsi="Times New Roman" w:eastAsia="宋体" w:cs="Times New Roman"/>
                <w:b w:val="0"/>
                <w:sz w:val="21"/>
                <w:highlight w:val="none"/>
              </w:rPr>
              <w:t>（10分）</w:t>
            </w:r>
          </w:p>
          <w:p w14:paraId="2B1F2304">
            <w:pPr>
              <w:widowControl/>
              <w:snapToGrid w:val="0"/>
              <w:spacing w:line="276" w:lineRule="auto" w:before="0" w:after="0"/>
              <w:ind w:firstLine="0"/>
              <w:jc w:val="center"/>
              <w:rPr>
                <w:rFonts w:ascii="Times New Roman" w:hAnsi="Times New Roman" w:eastAsia="宋体" w:cs="Times New Roman"/>
                <w:sz w:val="24"/>
                <w:highlight w:val="none"/>
              </w:rPr>
            </w:pPr>
          </w:p>
        </w:tc>
        <w:tc>
          <w:tcPr>
            <w:tcW w:w="8024" w:type="dxa"/>
            <w:vAlign w:val="center"/>
          </w:tcPr>
          <w:p w14:paraId="648F147C">
            <w:pPr>
              <w:widowControl/>
              <w:snapToGrid w:val="0"/>
              <w:spacing w:line="276" w:lineRule="auto" w:before="0" w:after="0"/>
              <w:ind w:firstLineChars="200" w:firstLine="0"/>
              <w:jc w:val="left"/>
              <w:rPr>
                <w:rFonts w:ascii="Times New Roman" w:hAnsi="Times New Roman" w:eastAsia="宋体" w:cs="Times New Roman"/>
                <w:sz w:val="24"/>
                <w:highlight w:val="none"/>
              </w:rPr>
            </w:pPr>
            <w:r>
              <w:rPr>
                <w:rFonts w:ascii="Times New Roman" w:hAnsi="Times New Roman" w:eastAsia="宋体" w:cs="Times New Roman"/>
                <w:b w:val="0"/>
                <w:sz w:val="21"/>
                <w:highlight w:val="none"/>
              </w:rPr>
              <w:t>文章署名第一单位为西北农林科技大学</w:t>
            </w:r>
            <w:r>
              <w:rPr>
                <w:rFonts w:hint="eastAsia" w:ascii="Times New Roman" w:hAnsi="Times New Roman" w:eastAsia="宋体" w:cs="Times New Roman"/>
                <w:b w:val="0"/>
                <w:sz w:val="21"/>
                <w:highlight w:val="none"/>
                <w:lang w:val="en-US" w:eastAsia="zh-CN"/>
              </w:rPr>
              <w:t>生命科学学院</w:t>
            </w:r>
            <w:r>
              <w:rPr>
                <w:rFonts w:ascii="Times New Roman" w:hAnsi="Times New Roman" w:eastAsia="宋体" w:cs="Times New Roman"/>
                <w:b w:val="0"/>
                <w:sz w:val="21"/>
                <w:highlight w:val="none"/>
              </w:rPr>
              <w:t>，在SCI期刊上发表</w:t>
            </w:r>
            <w:r>
              <w:rPr>
                <w:rFonts w:hint="eastAsia" w:ascii="Times New Roman" w:hAnsi="Times New Roman" w:eastAsia="宋体" w:cs="Times New Roman"/>
                <w:b w:val="0"/>
                <w:sz w:val="21"/>
                <w:highlight w:val="none"/>
                <w:lang w:val="en-US" w:eastAsia="zh-CN"/>
              </w:rPr>
              <w:t>研究</w:t>
            </w:r>
            <w:r>
              <w:rPr>
                <w:rFonts w:ascii="Times New Roman" w:hAnsi="Times New Roman" w:eastAsia="宋体" w:cs="Times New Roman"/>
                <w:b w:val="0"/>
                <w:sz w:val="21"/>
                <w:highlight w:val="none"/>
              </w:rPr>
              <w:t>论文，第一、二、三作者每篇分别加10、8、5分，其余作者</w:t>
            </w:r>
            <w:r>
              <w:rPr>
                <w:rFonts w:hint="eastAsia" w:ascii="Times New Roman" w:hAnsi="Times New Roman" w:eastAsia="宋体" w:cs="Times New Roman"/>
                <w:b w:val="0"/>
                <w:sz w:val="21"/>
                <w:highlight w:val="none"/>
                <w:lang w:val="en-US" w:eastAsia="zh-CN"/>
              </w:rPr>
              <w:t>2</w:t>
            </w:r>
            <w:r>
              <w:rPr>
                <w:rFonts w:ascii="Times New Roman" w:hAnsi="Times New Roman" w:eastAsia="宋体" w:cs="Times New Roman"/>
                <w:b w:val="0"/>
                <w:sz w:val="21"/>
                <w:highlight w:val="none"/>
              </w:rPr>
              <w:t>分</w:t>
            </w:r>
            <w:r>
              <w:rPr>
                <w:rFonts w:hint="eastAsia" w:ascii="Times New Roman" w:hAnsi="Times New Roman" w:eastAsia="宋体" w:cs="Times New Roman"/>
                <w:b w:val="0"/>
                <w:sz w:val="21"/>
                <w:highlight w:val="none"/>
              </w:rPr>
              <w:t>；</w:t>
            </w:r>
            <w:r>
              <w:rPr>
                <w:rFonts w:ascii="Times New Roman" w:hAnsi="Times New Roman" w:eastAsia="宋体" w:cs="Times New Roman"/>
                <w:b w:val="0"/>
                <w:sz w:val="21"/>
                <w:highlight w:val="none"/>
              </w:rPr>
              <w:t>在EI或中文核心期刊上发表</w:t>
            </w:r>
            <w:r>
              <w:rPr>
                <w:rFonts w:hint="eastAsia" w:ascii="Times New Roman" w:hAnsi="Times New Roman" w:eastAsia="宋体" w:cs="Times New Roman"/>
                <w:b w:val="0"/>
                <w:sz w:val="21"/>
                <w:highlight w:val="none"/>
                <w:lang w:val="en-US" w:eastAsia="zh-CN"/>
              </w:rPr>
              <w:t>研究</w:t>
            </w:r>
            <w:r>
              <w:rPr>
                <w:rFonts w:ascii="Times New Roman" w:hAnsi="Times New Roman" w:eastAsia="宋体" w:cs="Times New Roman"/>
                <w:b w:val="0"/>
                <w:sz w:val="21"/>
                <w:highlight w:val="none"/>
              </w:rPr>
              <w:t>论文，第一、二、三作者每篇分别加6、3、2分，其余作者</w:t>
            </w:r>
            <w:r>
              <w:rPr>
                <w:rFonts w:hint="eastAsia" w:ascii="Times New Roman" w:hAnsi="Times New Roman" w:eastAsia="宋体" w:cs="Times New Roman"/>
                <w:b w:val="0"/>
                <w:sz w:val="21"/>
                <w:highlight w:val="none"/>
                <w:lang w:val="en-US" w:eastAsia="zh-CN"/>
              </w:rPr>
              <w:t>1</w:t>
            </w:r>
            <w:r>
              <w:rPr>
                <w:rFonts w:ascii="Times New Roman" w:hAnsi="Times New Roman" w:eastAsia="宋体" w:cs="Times New Roman"/>
                <w:b w:val="0"/>
                <w:sz w:val="21"/>
                <w:highlight w:val="none"/>
              </w:rPr>
              <w:t>分</w:t>
            </w:r>
            <w:r>
              <w:rPr>
                <w:rFonts w:hint="eastAsia" w:ascii="Times New Roman" w:hAnsi="Times New Roman" w:eastAsia="宋体" w:cs="Times New Roman"/>
                <w:b w:val="0"/>
                <w:sz w:val="21"/>
                <w:highlight w:val="none"/>
              </w:rPr>
              <w:t>。</w:t>
            </w:r>
            <w:r>
              <w:rPr>
                <w:rFonts w:ascii="Times New Roman" w:hAnsi="Times New Roman" w:eastAsia="宋体" w:cs="Times New Roman"/>
                <w:b w:val="0"/>
                <w:sz w:val="21"/>
                <w:highlight w:val="none"/>
              </w:rPr>
              <w:t>论文共同第一作者以第二作者计，其余依次类推。</w:t>
            </w:r>
          </w:p>
          <w:p w14:paraId="6011D68D">
            <w:pPr>
              <w:widowControl/>
              <w:snapToGrid w:val="0"/>
              <w:spacing w:line="276" w:lineRule="auto" w:before="0" w:after="0"/>
              <w:ind w:firstLineChars="200" w:firstLine="0"/>
              <w:jc w:val="left"/>
              <w:rPr>
                <w:rFonts w:ascii="Times New Roman" w:hAnsi="Times New Roman" w:eastAsia="宋体" w:cs="Times New Roman"/>
                <w:sz w:val="24"/>
                <w:highlight w:val="none"/>
              </w:rPr>
            </w:pPr>
            <w:r>
              <w:rPr>
                <w:rFonts w:ascii="Times New Roman" w:hAnsi="Times New Roman" w:eastAsia="宋体" w:cs="Times New Roman"/>
                <w:b w:val="0"/>
                <w:sz w:val="21"/>
                <w:highlight w:val="none"/>
              </w:rPr>
              <w:t>累计加分不超过10分。</w:t>
            </w:r>
          </w:p>
        </w:tc>
      </w:tr>
      <w:tr w14:paraId="0F3D6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7" w:hRule="exact"/>
        </w:trPr>
        <w:tc>
          <w:tcPr>
            <w:tcW w:w="1271" w:type="dxa"/>
            <w:vAlign w:val="center"/>
          </w:tcPr>
          <w:p w14:paraId="46157C0F">
            <w:pPr>
              <w:widowControl/>
              <w:snapToGrid w:val="0"/>
              <w:spacing w:line="276" w:lineRule="auto" w:before="0" w:after="0"/>
              <w:ind w:firstLine="0"/>
              <w:jc w:val="center"/>
              <w:rPr>
                <w:rFonts w:ascii="Times New Roman" w:hAnsi="Times New Roman" w:eastAsia="宋体" w:cs="Times New Roman"/>
                <w:sz w:val="24"/>
                <w:highlight w:val="none"/>
              </w:rPr>
            </w:pPr>
            <w:r>
              <w:rPr>
                <w:rFonts w:ascii="Times New Roman" w:hAnsi="Times New Roman" w:eastAsia="宋体" w:cs="Times New Roman"/>
                <w:b w:val="0"/>
                <w:sz w:val="21"/>
                <w:highlight w:val="none"/>
              </w:rPr>
              <w:t>科研训练</w:t>
            </w:r>
          </w:p>
          <w:p w14:paraId="4145328D">
            <w:pPr>
              <w:widowControl/>
              <w:snapToGrid w:val="0"/>
              <w:spacing w:line="276" w:lineRule="auto" w:before="0" w:after="0"/>
              <w:ind w:firstLine="0"/>
              <w:jc w:val="center"/>
              <w:rPr>
                <w:rFonts w:ascii="Times New Roman" w:hAnsi="Times New Roman" w:eastAsia="宋体" w:cs="Times New Roman"/>
                <w:sz w:val="24"/>
                <w:highlight w:val="none"/>
              </w:rPr>
            </w:pPr>
            <w:r>
              <w:rPr>
                <w:rFonts w:ascii="Times New Roman" w:hAnsi="Times New Roman" w:eastAsia="宋体" w:cs="Times New Roman"/>
                <w:b w:val="0"/>
                <w:sz w:val="21"/>
                <w:highlight w:val="none"/>
              </w:rPr>
              <w:t>（10分）</w:t>
            </w:r>
          </w:p>
        </w:tc>
        <w:tc>
          <w:tcPr>
            <w:tcW w:w="8024" w:type="dxa"/>
            <w:vAlign w:val="center"/>
          </w:tcPr>
          <w:p w14:paraId="16B122AB">
            <w:pPr>
              <w:widowControl/>
              <w:snapToGrid w:val="0"/>
              <w:spacing w:line="276" w:lineRule="auto" w:before="0" w:after="0"/>
              <w:ind w:firstLineChars="200" w:firstLine="0"/>
              <w:jc w:val="left"/>
              <w:rPr>
                <w:rFonts w:ascii="Times New Roman" w:hAnsi="Times New Roman" w:eastAsia="宋体" w:cs="Times New Roman"/>
                <w:sz w:val="24"/>
                <w:highlight w:val="none"/>
              </w:rPr>
            </w:pPr>
            <w:r>
              <w:rPr>
                <w:rFonts w:ascii="Times New Roman" w:hAnsi="Times New Roman" w:eastAsia="宋体" w:cs="Times New Roman"/>
                <w:b w:val="0"/>
                <w:sz w:val="21"/>
                <w:highlight w:val="none"/>
              </w:rPr>
              <w:t>以主持人身份获批大学生创新创业训练计划项目</w:t>
            </w:r>
            <w:r>
              <w:rPr>
                <w:rFonts w:hint="eastAsia" w:ascii="Times New Roman" w:hAnsi="Times New Roman" w:eastAsia="宋体" w:cs="Times New Roman"/>
                <w:b w:val="0"/>
                <w:sz w:val="21"/>
                <w:highlight w:val="none"/>
              </w:rPr>
              <w:t>且</w:t>
            </w:r>
            <w:r>
              <w:rPr>
                <w:rFonts w:hint="eastAsia" w:ascii="Times New Roman" w:hAnsi="Times New Roman" w:eastAsia="宋体" w:cs="Times New Roman"/>
                <w:b w:val="0"/>
                <w:sz w:val="21"/>
                <w:highlight w:val="none"/>
                <w:lang w:val="en-US" w:eastAsia="zh-CN"/>
              </w:rPr>
              <w:t>结题</w:t>
            </w:r>
            <w:r>
              <w:rPr>
                <w:rFonts w:ascii="Times New Roman" w:hAnsi="Times New Roman" w:eastAsia="宋体" w:cs="Times New Roman"/>
                <w:b w:val="0"/>
                <w:sz w:val="21"/>
                <w:highlight w:val="none"/>
              </w:rPr>
              <w:t>，国家级加4分（参与者加3分），省级加3分（参与者加2分），校级加2分（参与者加1分）；课题结题考核等级为优秀者，国家级加10分（参与者加5分），省级加6分（参与者加3分），校级加3分（参与者加1分）；多次参与者</w:t>
            </w:r>
            <w:r>
              <w:rPr>
                <w:rFonts w:hint="eastAsia" w:ascii="Times New Roman" w:hAnsi="Times New Roman" w:eastAsia="宋体" w:cs="Times New Roman"/>
                <w:b w:val="0"/>
                <w:sz w:val="21"/>
                <w:highlight w:val="none"/>
              </w:rPr>
              <w:t>只</w:t>
            </w:r>
            <w:r>
              <w:rPr>
                <w:rFonts w:ascii="Times New Roman" w:hAnsi="Times New Roman" w:eastAsia="宋体" w:cs="Times New Roman"/>
                <w:b w:val="0"/>
                <w:sz w:val="21"/>
                <w:highlight w:val="none"/>
              </w:rPr>
              <w:t>计最高分，不累计；</w:t>
            </w:r>
          </w:p>
          <w:p w14:paraId="4FB39A7B">
            <w:pPr>
              <w:widowControl/>
              <w:snapToGrid w:val="0"/>
              <w:spacing w:line="276" w:lineRule="auto" w:before="0" w:after="0"/>
              <w:ind w:firstLineChars="200" w:firstLine="0"/>
              <w:jc w:val="left"/>
              <w:rPr>
                <w:rFonts w:ascii="Times New Roman" w:hAnsi="Times New Roman" w:eastAsia="宋体" w:cs="Times New Roman"/>
                <w:sz w:val="24"/>
                <w:highlight w:val="none"/>
              </w:rPr>
            </w:pPr>
            <w:r>
              <w:rPr>
                <w:rFonts w:ascii="Times New Roman" w:hAnsi="Times New Roman" w:eastAsia="宋体" w:cs="Times New Roman"/>
                <w:b w:val="0"/>
                <w:sz w:val="21"/>
                <w:highlight w:val="none"/>
              </w:rPr>
              <w:t>《生物科学前沿探索实验》《生物化学综合实验I》《生物化学综合实验II》和《生物学野外综合实习》等4门自主实践课程考核优秀（90分及以上）每门加2分，良好（80-89分）每门加1分。</w:t>
            </w:r>
          </w:p>
          <w:p w14:paraId="1D6A39F0">
            <w:pPr>
              <w:widowControl/>
              <w:snapToGrid w:val="0"/>
              <w:spacing w:line="276" w:lineRule="auto" w:before="0" w:after="0"/>
              <w:ind w:firstLineChars="200" w:firstLine="0"/>
              <w:jc w:val="left"/>
              <w:rPr>
                <w:rFonts w:ascii="Times New Roman" w:hAnsi="Times New Roman" w:eastAsia="宋体" w:cs="Times New Roman"/>
                <w:sz w:val="24"/>
                <w:highlight w:val="none"/>
              </w:rPr>
            </w:pPr>
            <w:r>
              <w:rPr>
                <w:rFonts w:ascii="Times New Roman" w:hAnsi="Times New Roman" w:eastAsia="宋体" w:cs="Times New Roman"/>
                <w:b w:val="0"/>
                <w:sz w:val="21"/>
                <w:highlight w:val="none"/>
              </w:rPr>
              <w:t>累计加分不超过10分。</w:t>
            </w:r>
          </w:p>
        </w:tc>
      </w:tr>
      <w:tr w14:paraId="63F7F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7" w:hRule="atLeast"/>
        </w:trPr>
        <w:tc>
          <w:tcPr>
            <w:tcW w:w="1271" w:type="dxa"/>
            <w:vAlign w:val="center"/>
          </w:tcPr>
          <w:p w14:paraId="42C214F4">
            <w:pPr>
              <w:widowControl/>
              <w:snapToGrid w:val="0"/>
              <w:spacing w:line="276" w:lineRule="auto" w:before="0" w:after="0"/>
              <w:ind w:firstLine="0"/>
              <w:jc w:val="center"/>
              <w:rPr>
                <w:rFonts w:ascii="Times New Roman" w:hAnsi="Times New Roman" w:eastAsia="宋体" w:cs="Times New Roman"/>
                <w:sz w:val="24"/>
                <w:highlight w:val="none"/>
              </w:rPr>
            </w:pPr>
          </w:p>
          <w:p w14:paraId="2AAAA7D0">
            <w:pPr>
              <w:widowControl/>
              <w:snapToGrid w:val="0"/>
              <w:spacing w:line="276" w:lineRule="auto" w:before="0" w:after="0"/>
              <w:ind w:firstLine="0"/>
              <w:jc w:val="center"/>
              <w:rPr>
                <w:rFonts w:ascii="Times New Roman" w:hAnsi="Times New Roman" w:eastAsia="宋体" w:cs="Times New Roman"/>
                <w:sz w:val="24"/>
                <w:highlight w:val="none"/>
              </w:rPr>
            </w:pPr>
          </w:p>
          <w:p w14:paraId="6FF4A1DD">
            <w:pPr>
              <w:widowControl/>
              <w:snapToGrid w:val="0"/>
              <w:spacing w:line="276" w:lineRule="auto" w:before="0" w:after="0"/>
              <w:ind w:firstLine="0"/>
              <w:jc w:val="center"/>
              <w:rPr>
                <w:rFonts w:ascii="Times New Roman" w:hAnsi="Times New Roman" w:eastAsia="宋体" w:cs="Times New Roman"/>
                <w:sz w:val="24"/>
                <w:highlight w:val="none"/>
              </w:rPr>
            </w:pPr>
            <w:r>
              <w:rPr>
                <w:rFonts w:ascii="Times New Roman" w:hAnsi="Times New Roman" w:eastAsia="宋体" w:cs="Times New Roman"/>
                <w:b w:val="0"/>
                <w:sz w:val="21"/>
                <w:highlight w:val="none"/>
              </w:rPr>
              <w:t>外语水平</w:t>
            </w:r>
          </w:p>
          <w:p w14:paraId="16F28A2F">
            <w:pPr>
              <w:widowControl/>
              <w:snapToGrid w:val="0"/>
              <w:spacing w:line="276" w:lineRule="auto" w:before="0" w:after="0"/>
              <w:ind w:firstLine="0"/>
              <w:jc w:val="center"/>
              <w:rPr>
                <w:rFonts w:ascii="Times New Roman" w:hAnsi="Times New Roman" w:eastAsia="宋体" w:cs="Times New Roman"/>
                <w:sz w:val="24"/>
                <w:highlight w:val="none"/>
              </w:rPr>
            </w:pPr>
            <w:r>
              <w:rPr>
                <w:rFonts w:ascii="Times New Roman" w:hAnsi="Times New Roman" w:eastAsia="宋体" w:cs="Times New Roman"/>
                <w:b w:val="0"/>
                <w:sz w:val="21"/>
                <w:highlight w:val="none"/>
              </w:rPr>
              <w:t>（5分）</w:t>
            </w:r>
          </w:p>
          <w:p w14:paraId="71ABD9F4">
            <w:pPr>
              <w:widowControl/>
              <w:snapToGrid w:val="0"/>
              <w:spacing w:line="276" w:lineRule="auto" w:before="0" w:after="0"/>
              <w:ind w:firstLine="0"/>
              <w:rPr>
                <w:rFonts w:ascii="Times New Roman" w:hAnsi="Times New Roman" w:eastAsia="宋体" w:cs="Times New Roman"/>
                <w:sz w:val="24"/>
                <w:highlight w:val="none"/>
              </w:rPr>
            </w:pPr>
          </w:p>
        </w:tc>
        <w:tc>
          <w:tcPr>
            <w:tcW w:w="8024" w:type="dxa"/>
            <w:vAlign w:val="center"/>
          </w:tcPr>
          <w:p w14:paraId="0B71BE95">
            <w:pPr>
              <w:widowControl/>
              <w:snapToGrid w:val="0"/>
              <w:spacing w:line="276" w:lineRule="auto" w:before="0" w:after="0"/>
              <w:ind w:firstLineChars="200" w:firstLine="0"/>
              <w:rPr>
                <w:rFonts w:ascii="Times New Roman" w:hAnsi="Times New Roman" w:eastAsia="宋体" w:cs="Times New Roman"/>
                <w:sz w:val="24"/>
                <w:highlight w:val="none"/>
              </w:rPr>
            </w:pPr>
            <w:r>
              <w:rPr>
                <w:rFonts w:ascii="Times New Roman" w:hAnsi="Times New Roman" w:eastAsia="宋体" w:cs="Times New Roman"/>
                <w:b w:val="0"/>
                <w:sz w:val="21"/>
                <w:highlight w:val="none"/>
              </w:rPr>
              <w:t>雅思成绩（有效期两年内）7.0及以上加3分，7.5及以上者加5分；托福成绩（有效期两年内）90及以上者加3分，105及以上者加5分；GRE（有效期两年内）300-319加3分，320及以上加5分。各项不重复加分，按最高成绩计算。</w:t>
            </w:r>
          </w:p>
          <w:p w14:paraId="6C1A750A">
            <w:pPr>
              <w:widowControl/>
              <w:snapToGrid w:val="0"/>
              <w:spacing w:line="276" w:lineRule="auto" w:before="0" w:after="0"/>
              <w:ind w:firstLineChars="200" w:firstLine="0"/>
              <w:jc w:val="left"/>
              <w:rPr>
                <w:rFonts w:ascii="Times New Roman" w:hAnsi="Times New Roman" w:eastAsia="宋体" w:cs="Times New Roman"/>
                <w:sz w:val="24"/>
                <w:highlight w:val="none"/>
              </w:rPr>
            </w:pPr>
            <w:r>
              <w:rPr>
                <w:rFonts w:ascii="Times New Roman" w:hAnsi="Times New Roman" w:eastAsia="宋体" w:cs="Times New Roman"/>
                <w:b w:val="0"/>
                <w:sz w:val="21"/>
                <w:highlight w:val="none"/>
              </w:rPr>
              <w:t>选修全英文课程获得80-89分每门加1分，获得90分及以上每门加2分。</w:t>
            </w:r>
          </w:p>
          <w:p w14:paraId="5C8E8E5A">
            <w:pPr>
              <w:snapToGrid w:val="0"/>
              <w:spacing w:line="276" w:lineRule="auto" w:before="0" w:after="0"/>
              <w:ind w:firstLineChars="200" w:firstLine="0"/>
              <w:jc w:val="left"/>
              <w:rPr>
                <w:rFonts w:ascii="Times New Roman" w:hAnsi="Times New Roman" w:eastAsia="宋体" w:cs="Times New Roman"/>
                <w:sz w:val="24"/>
                <w:highlight w:val="none"/>
              </w:rPr>
            </w:pPr>
            <w:r>
              <w:rPr>
                <w:rFonts w:ascii="Times New Roman" w:hAnsi="Times New Roman" w:eastAsia="宋体" w:cs="Times New Roman"/>
                <w:b w:val="0"/>
                <w:sz w:val="21"/>
                <w:highlight w:val="none"/>
              </w:rPr>
              <w:t>累计</w:t>
            </w:r>
            <w:r>
              <w:rPr>
                <w:rFonts w:hint="eastAsia" w:ascii="Times New Roman" w:hAnsi="Times New Roman" w:eastAsia="宋体" w:cs="Times New Roman"/>
                <w:b w:val="0"/>
                <w:sz w:val="21"/>
                <w:highlight w:val="none"/>
              </w:rPr>
              <w:t>加分</w:t>
            </w:r>
            <w:r>
              <w:rPr>
                <w:rFonts w:ascii="Times New Roman" w:hAnsi="Times New Roman" w:eastAsia="宋体" w:cs="Times New Roman"/>
                <w:b w:val="0"/>
                <w:sz w:val="21"/>
                <w:highlight w:val="none"/>
              </w:rPr>
              <w:t>不超过5分。</w:t>
            </w:r>
          </w:p>
        </w:tc>
      </w:tr>
      <w:tr w14:paraId="1C8B9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trPr>
        <w:tc>
          <w:tcPr>
            <w:tcW w:w="1271" w:type="dxa"/>
            <w:vAlign w:val="center"/>
          </w:tcPr>
          <w:p w14:paraId="2AD97734">
            <w:pPr>
              <w:widowControl/>
              <w:snapToGrid w:val="0"/>
              <w:spacing w:line="276" w:lineRule="auto" w:before="0" w:after="0"/>
              <w:ind w:firstLine="0"/>
              <w:jc w:val="center"/>
              <w:rPr>
                <w:rFonts w:ascii="Times New Roman" w:hAnsi="Times New Roman" w:eastAsia="宋体" w:cs="Times New Roman"/>
                <w:sz w:val="24"/>
                <w:highlight w:val="none"/>
              </w:rPr>
            </w:pPr>
            <w:r>
              <w:rPr>
                <w:rFonts w:ascii="Times New Roman" w:hAnsi="Times New Roman" w:eastAsia="宋体" w:cs="Times New Roman"/>
                <w:b w:val="0"/>
                <w:sz w:val="21"/>
                <w:highlight w:val="none"/>
              </w:rPr>
              <w:t>国际交流</w:t>
            </w:r>
          </w:p>
          <w:p w14:paraId="73BEC188">
            <w:pPr>
              <w:widowControl/>
              <w:snapToGrid w:val="0"/>
              <w:spacing w:line="276" w:lineRule="auto" w:before="0" w:after="0"/>
              <w:ind w:firstLine="0"/>
              <w:jc w:val="center"/>
              <w:rPr>
                <w:rFonts w:ascii="Times New Roman" w:hAnsi="Times New Roman" w:eastAsia="宋体" w:cs="Times New Roman"/>
                <w:sz w:val="24"/>
                <w:highlight w:val="none"/>
              </w:rPr>
            </w:pPr>
            <w:r>
              <w:rPr>
                <w:rFonts w:ascii="Times New Roman" w:hAnsi="Times New Roman" w:eastAsia="宋体" w:cs="Times New Roman"/>
                <w:b w:val="0"/>
                <w:sz w:val="21"/>
                <w:highlight w:val="none"/>
              </w:rPr>
              <w:t>（5分）</w:t>
            </w:r>
          </w:p>
        </w:tc>
        <w:tc>
          <w:tcPr>
            <w:tcW w:w="8024" w:type="dxa"/>
          </w:tcPr>
          <w:p w14:paraId="7FD5E849">
            <w:pPr>
              <w:widowControl/>
              <w:snapToGrid w:val="0"/>
              <w:spacing w:line="276" w:lineRule="auto" w:before="0" w:after="0"/>
              <w:ind w:firstLineChars="200" w:firstLine="0"/>
              <w:rPr>
                <w:rFonts w:ascii="Times New Roman" w:hAnsi="Times New Roman" w:eastAsia="宋体" w:cs="Times New Roman"/>
                <w:sz w:val="24"/>
                <w:highlight w:val="none"/>
              </w:rPr>
            </w:pPr>
          </w:p>
          <w:p w14:paraId="78136EB8">
            <w:pPr>
              <w:widowControl/>
              <w:snapToGrid w:val="0"/>
              <w:spacing w:line="276" w:lineRule="auto" w:before="0" w:after="0"/>
              <w:ind w:firstLineChars="200" w:firstLine="0"/>
              <w:rPr>
                <w:rFonts w:ascii="Times New Roman" w:hAnsi="Times New Roman" w:eastAsia="宋体" w:cs="Times New Roman"/>
                <w:sz w:val="24"/>
                <w:highlight w:val="none"/>
              </w:rPr>
            </w:pPr>
            <w:r>
              <w:rPr>
                <w:rFonts w:ascii="Times New Roman" w:hAnsi="Times New Roman" w:eastAsia="宋体" w:cs="Times New Roman"/>
                <w:b w:val="0"/>
                <w:sz w:val="21"/>
                <w:highlight w:val="none"/>
              </w:rPr>
              <w:t>在校期间</w:t>
            </w:r>
            <w:r>
              <w:rPr>
                <w:rFonts w:hint="eastAsia" w:ascii="Times New Roman" w:hAnsi="Times New Roman" w:eastAsia="宋体" w:cs="Times New Roman"/>
                <w:b w:val="0"/>
                <w:sz w:val="21"/>
                <w:highlight w:val="none"/>
              </w:rPr>
              <w:t>完成</w:t>
            </w:r>
            <w:r>
              <w:rPr>
                <w:rFonts w:ascii="Times New Roman" w:hAnsi="Times New Roman" w:eastAsia="宋体" w:cs="Times New Roman"/>
                <w:b w:val="0"/>
                <w:sz w:val="21"/>
                <w:highlight w:val="none"/>
              </w:rPr>
              <w:t>连续三个月及以上的国际访学，每次加5分；学校、学院组织派出或经学院认定的其他国际交流，每项加2分。累计加分不超过5分。</w:t>
            </w:r>
          </w:p>
        </w:tc>
      </w:tr>
    </w:tbl>
    <w:p w14:paraId="63B30328">
      <w:pPr>
        <w:widowControl/>
        <w:snapToGrid w:val="0"/>
        <w:rPr>
          <w:rFonts w:ascii="Times New Roman" w:hAnsi="Times New Roman" w:eastAsia="宋体" w:cs="Times New Roman"/>
          <w:sz w:val="24"/>
          <w:highlight w:val="none"/>
        </w:rPr>
      </w:pPr>
    </w:p>
    <w:p w14:paraId="7FDE39DA">
      <w:pPr>
        <w:widowControl/>
        <w:snapToGrid w:val="0"/>
        <w:rPr>
          <w:rFonts w:ascii="Times New Roman" w:hAnsi="Times New Roman" w:eastAsia="宋体" w:cs="Times New Roman"/>
          <w:sz w:val="24"/>
          <w:highlight w:val="none"/>
        </w:rPr>
      </w:pPr>
    </w:p>
    <w:p w14:paraId="033777DD">
      <w:pPr>
        <w:widowControl/>
        <w:snapToGrid w:val="0"/>
        <w:rPr>
          <w:rFonts w:ascii="Times New Roman" w:hAnsi="Times New Roman" w:eastAsia="宋体" w:cs="Times New Roman"/>
          <w:sz w:val="24"/>
          <w:highlight w:val="none"/>
        </w:rPr>
      </w:pPr>
    </w:p>
    <w:p w14:paraId="360FCFED">
      <w:pPr>
        <w:widowControl/>
        <w:snapToGrid w:val="0"/>
        <w:spacing w:line="360" w:lineRule="auto" w:before="0" w:after="80"/>
        <w:ind w:firstLine="482"/>
        <w:jc w:val="both"/>
        <w:rPr>
          <w:rFonts w:ascii="Times New Roman" w:hAnsi="Times New Roman" w:eastAsia="宋体" w:cs="Times New Roman"/>
          <w:color w:val="FF0000"/>
          <w:sz w:val="24"/>
          <w:highlight w:val="none"/>
        </w:rPr>
      </w:pPr>
      <w:r>
        <w:rPr>
          <w:rFonts w:ascii="Times New Roman" w:hAnsi="Times New Roman" w:eastAsia="宋体" w:cs="Times New Roman"/>
          <w:b w:val="0"/>
          <w:sz w:val="24"/>
          <w:highlight w:val="none"/>
        </w:rPr>
        <w:t>注：</w:t>
      </w:r>
      <w:r>
        <w:rPr>
          <w:rFonts w:ascii="Times New Roman" w:hAnsi="Times New Roman" w:eastAsia="宋体" w:cs="Times New Roman"/>
          <w:b w:val="0"/>
          <w:color w:val="FF0000"/>
          <w:sz w:val="24"/>
          <w:highlight w:val="none"/>
        </w:rPr>
        <w:t xml:space="preserve"> </w:t>
      </w:r>
    </w:p>
    <w:p w14:paraId="17A87AD6">
      <w:pPr>
        <w:widowControl/>
        <w:numPr>
          <w:ilvl w:val="0"/>
          <w:numId w:val="4"/>
        </w:numPr>
        <w:snapToGrid w:val="0"/>
        <w:spacing w:line="360" w:lineRule="auto" w:before="0" w:after="80"/>
        <w:ind w:firstLine="482"/>
        <w:jc w:val="both"/>
        <w:rPr>
          <w:rFonts w:ascii="Times New Roman" w:hAnsi="Times New Roman" w:eastAsia="宋体" w:cs="Times New Roman"/>
          <w:sz w:val="24"/>
          <w:highlight w:val="none"/>
        </w:rPr>
      </w:pPr>
      <w:r>
        <w:rPr>
          <w:rFonts w:ascii="Times New Roman" w:hAnsi="Times New Roman" w:eastAsia="宋体" w:cs="Times New Roman"/>
          <w:b w:val="0"/>
          <w:sz w:val="24"/>
          <w:highlight w:val="none"/>
        </w:rPr>
        <w:t>科研潜质考核加分项按表格内容加分计算，同一项目加分</w:t>
      </w:r>
      <w:r>
        <w:rPr>
          <w:rFonts w:hint="eastAsia" w:ascii="Times New Roman" w:hAnsi="Times New Roman" w:eastAsia="宋体" w:cs="Times New Roman"/>
          <w:b w:val="0"/>
          <w:sz w:val="24"/>
          <w:highlight w:val="none"/>
        </w:rPr>
        <w:t>采取就高原则</w:t>
      </w:r>
      <w:r>
        <w:rPr>
          <w:rFonts w:ascii="Times New Roman" w:hAnsi="Times New Roman" w:eastAsia="宋体" w:cs="Times New Roman"/>
          <w:b w:val="0"/>
          <w:sz w:val="24"/>
          <w:highlight w:val="none"/>
        </w:rPr>
        <w:t>，不重复加分。</w:t>
      </w:r>
    </w:p>
    <w:p w14:paraId="357D1F03">
      <w:pPr>
        <w:widowControl/>
        <w:numPr>
          <w:ilvl w:val="0"/>
          <w:numId w:val="4"/>
        </w:numPr>
        <w:snapToGrid w:val="0"/>
        <w:spacing w:line="360" w:lineRule="auto" w:before="0" w:after="80"/>
        <w:ind w:firstLine="482"/>
        <w:jc w:val="both"/>
        <w:rPr>
          <w:rFonts w:ascii="Times New Roman" w:hAnsi="Times New Roman" w:eastAsia="宋体" w:cs="Times New Roman"/>
          <w:sz w:val="24"/>
          <w:highlight w:val="none"/>
        </w:rPr>
      </w:pPr>
      <w:r>
        <w:rPr>
          <w:rFonts w:ascii="Times New Roman" w:hAnsi="Times New Roman" w:eastAsia="宋体" w:cs="Times New Roman"/>
          <w:b w:val="0"/>
          <w:sz w:val="24"/>
          <w:highlight w:val="none"/>
        </w:rPr>
        <w:t>学生发表的论文、获奖成果等，都必须是本人在</w:t>
      </w:r>
      <w:r>
        <w:rPr>
          <w:rFonts w:hint="eastAsia" w:ascii="Times New Roman" w:hAnsi="Times New Roman" w:eastAsia="宋体" w:cs="Times New Roman"/>
          <w:b w:val="0"/>
          <w:sz w:val="24"/>
          <w:highlight w:val="none"/>
        </w:rPr>
        <w:t>校</w:t>
      </w:r>
      <w:r>
        <w:rPr>
          <w:rFonts w:ascii="Times New Roman" w:hAnsi="Times New Roman" w:eastAsia="宋体" w:cs="Times New Roman"/>
          <w:b w:val="0"/>
          <w:sz w:val="24"/>
          <w:highlight w:val="none"/>
        </w:rPr>
        <w:t>期间发表或者获得</w:t>
      </w:r>
      <w:r>
        <w:rPr>
          <w:rFonts w:hint="eastAsia" w:cs="Times New Roman" w:ascii="Times New Roman" w:hAnsi="Times New Roman" w:eastAsia="宋体"/>
          <w:b w:val="0"/>
          <w:sz w:val="24"/>
          <w:highlight w:val="none"/>
          <w:lang w:eastAsia="zh-CN"/>
        </w:rPr>
        <w:t>，</w:t>
      </w:r>
      <w:r>
        <w:rPr>
          <w:rFonts w:hint="eastAsia" w:cs="Times New Roman" w:ascii="Times New Roman" w:hAnsi="Times New Roman" w:eastAsia="宋体"/>
          <w:b w:val="0"/>
          <w:sz w:val="24"/>
          <w:highlight w:val="none"/>
          <w:lang w:val="en-US" w:eastAsia="zh-CN"/>
        </w:rPr>
        <w:t>且已</w:t>
      </w:r>
      <w:r>
        <w:rPr>
          <w:rFonts w:ascii="Times New Roman" w:hAnsi="Times New Roman" w:eastAsia="宋体" w:cs="Times New Roman"/>
          <w:b w:val="0"/>
          <w:sz w:val="24"/>
          <w:highlight w:val="none"/>
        </w:rPr>
        <w:t>公开发表</w:t>
      </w:r>
      <w:r>
        <w:rPr>
          <w:rFonts w:hint="eastAsia" w:cs="Times New Roman" w:ascii="Times New Roman" w:hAnsi="Times New Roman" w:eastAsia="宋体"/>
          <w:b w:val="0"/>
          <w:sz w:val="24"/>
          <w:highlight w:val="none"/>
          <w:lang w:val="en-US" w:eastAsia="zh-CN"/>
        </w:rPr>
        <w:t>或</w:t>
      </w:r>
      <w:r>
        <w:rPr>
          <w:rFonts w:ascii="Times New Roman" w:hAnsi="Times New Roman" w:eastAsia="宋体" w:cs="Times New Roman"/>
          <w:b w:val="0"/>
          <w:sz w:val="24"/>
          <w:highlight w:val="none"/>
        </w:rPr>
        <w:t>收到正式接收函。</w:t>
      </w:r>
    </w:p>
    <w:p w14:paraId="147188B2">
      <w:pPr>
        <w:widowControl/>
        <w:numPr>
          <w:ilvl w:val="0"/>
          <w:numId w:val="4"/>
        </w:numPr>
        <w:snapToGrid w:val="0"/>
        <w:spacing w:line="360" w:lineRule="auto" w:before="0" w:after="80"/>
        <w:ind w:firstLine="482"/>
        <w:jc w:val="both"/>
        <w:rPr>
          <w:rFonts w:ascii="Times New Roman" w:hAnsi="Times New Roman" w:eastAsia="宋体" w:cs="Times New Roman"/>
          <w:sz w:val="24"/>
          <w:highlight w:val="none"/>
        </w:rPr>
      </w:pPr>
      <w:r>
        <w:rPr>
          <w:rFonts w:ascii="Times New Roman" w:hAnsi="Times New Roman" w:eastAsia="宋体" w:cs="Times New Roman"/>
          <w:b w:val="0"/>
          <w:sz w:val="24"/>
          <w:highlight w:val="none"/>
        </w:rPr>
        <w:t>所有加分项目以学生提供的证书、论文首页、论文接收函等原件为依据</w:t>
      </w:r>
      <w:r>
        <w:rPr>
          <w:rFonts w:hint="eastAsia" w:ascii="Times New Roman" w:hAnsi="Times New Roman" w:eastAsia="宋体" w:cs="Times New Roman"/>
          <w:b w:val="0"/>
          <w:sz w:val="24"/>
          <w:highlight w:val="none"/>
        </w:rPr>
        <w:t>。</w:t>
      </w:r>
    </w:p>
    <w:p w14:paraId="166FD5DE">
      <w:pPr>
        <w:widowControl/>
        <w:snapToGrid w:val="0"/>
        <w:spacing w:line="360" w:lineRule="auto" w:before="160" w:after="80"/>
        <w:ind w:firstLine="0"/>
        <w:jc w:val="left"/>
        <w:rPr>
          <w:rFonts w:hint="default"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ascii="Times New Roman" w:hAnsi="Times New Roman" w:eastAsia="宋体"/>
          <w:b/>
          <w:sz w:val="28"/>
          <w:highlight w:val="none"/>
          <w:lang w:val="en-US" w:eastAsia="zh-CN"/>
        </w:rPr>
        <w:t>4.如有其他特殊贡献或突出奖励，由学生提出申请，推免生遴选工作小组予以认定和加分。</w:t>
      </w:r>
    </w:p>
    <w:p w14:paraId="50E79EA1">
      <w:pPr>
        <w:widowControl/>
        <w:snapToGrid w:val="0"/>
        <w:rPr>
          <w:rFonts w:hint="eastAsia" w:asciiTheme="minorEastAsia" w:hAnsiTheme="minorEastAsia" w:eastAsiaTheme="minorEastAsia" w:cstheme="minorEastAsia"/>
          <w:sz w:val="24"/>
          <w:highlight w:val="none"/>
        </w:rPr>
      </w:pPr>
      <w:bookmarkStart w:id="0" w:name="_GoBack"/>
      <w:bookmarkEnd w:id="0"/>
    </w:p>
    <w:sectPr>
      <w:headerReference r:id="rId3" w:type="default"/>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2904D">
    <w:pPr>
      <w:pStyle w:val="4"/>
      <w:pBdr>
        <w:bottom w:val="none" w:color="auto" w:sz="0" w:space="0"/>
      </w:pBdr>
      <w:jc w:val="left"/>
      <w:rPr>
        <w:rFonts w:ascii="仿宋" w:hAnsi="仿宋" w:eastAsia="仿宋"/>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573E16"/>
    <w:multiLevelType w:val="singleLevel"/>
    <w:tmpl w:val="8D573E16"/>
    <w:lvl w:ilvl="0" w:tentative="0">
      <w:start w:val="1"/>
      <w:numFmt w:val="decimal"/>
      <w:suff w:val="space"/>
      <w:lvlText w:val="%1."/>
      <w:lvlJc w:val="left"/>
    </w:lvl>
  </w:abstractNum>
  <w:abstractNum w:abstractNumId="1">
    <w:nsid w:val="9A6BBB20"/>
    <w:multiLevelType w:val="singleLevel"/>
    <w:tmpl w:val="9A6BBB20"/>
    <w:lvl w:ilvl="0" w:tentative="0">
      <w:start w:val="2"/>
      <w:numFmt w:val="decimal"/>
      <w:suff w:val="space"/>
      <w:lvlText w:val="%1."/>
      <w:lvlJc w:val="left"/>
    </w:lvl>
  </w:abstractNum>
  <w:abstractNum w:abstractNumId="2">
    <w:nsid w:val="21A9BA80"/>
    <w:multiLevelType w:val="singleLevel"/>
    <w:tmpl w:val="21A9BA80"/>
    <w:lvl w:ilvl="0" w:tentative="0">
      <w:start w:val="1"/>
      <w:numFmt w:val="decimal"/>
      <w:suff w:val="space"/>
      <w:lvlText w:val="%1."/>
      <w:lvlJc w:val="left"/>
    </w:lvl>
  </w:abstractNum>
  <w:abstractNum w:abstractNumId="3">
    <w:nsid w:val="4E21EAD6"/>
    <w:multiLevelType w:val="singleLevel"/>
    <w:tmpl w:val="4E21EAD6"/>
    <w:lvl w:ilvl="0" w:tentative="0">
      <w:start w:val="1"/>
      <w:numFmt w:val="decimal"/>
      <w:suff w:val="nothing"/>
      <w:lvlText w:val="（%1）"/>
      <w:lvlJc w:val="left"/>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1ZTQ4N2EwYzIzNWFlNmZjNTkzNzNlZDNmYWZhNzUifQ=="/>
  </w:docVars>
  <w:rsids>
    <w:rsidRoot w:val="37913034"/>
    <w:rsid w:val="001A186B"/>
    <w:rsid w:val="001F1456"/>
    <w:rsid w:val="002319F8"/>
    <w:rsid w:val="00260371"/>
    <w:rsid w:val="00325051"/>
    <w:rsid w:val="00505D90"/>
    <w:rsid w:val="00565FDF"/>
    <w:rsid w:val="006255E0"/>
    <w:rsid w:val="0091126A"/>
    <w:rsid w:val="009F5208"/>
    <w:rsid w:val="00A76D02"/>
    <w:rsid w:val="00B33B7B"/>
    <w:rsid w:val="00BB2961"/>
    <w:rsid w:val="00CF2260"/>
    <w:rsid w:val="00D23B4B"/>
    <w:rsid w:val="00DC4D13"/>
    <w:rsid w:val="00F442E1"/>
    <w:rsid w:val="00F508E5"/>
    <w:rsid w:val="01A330C0"/>
    <w:rsid w:val="06791048"/>
    <w:rsid w:val="07660B6A"/>
    <w:rsid w:val="0AB063A2"/>
    <w:rsid w:val="0D8F2545"/>
    <w:rsid w:val="136B5974"/>
    <w:rsid w:val="13AC746F"/>
    <w:rsid w:val="141B3DE6"/>
    <w:rsid w:val="14B107CA"/>
    <w:rsid w:val="174834F8"/>
    <w:rsid w:val="19787C6E"/>
    <w:rsid w:val="19EF7598"/>
    <w:rsid w:val="1A1F4931"/>
    <w:rsid w:val="1BAD6604"/>
    <w:rsid w:val="1CCE0EE4"/>
    <w:rsid w:val="1D8A155C"/>
    <w:rsid w:val="1FF61321"/>
    <w:rsid w:val="20F939D8"/>
    <w:rsid w:val="22117DF3"/>
    <w:rsid w:val="265A102C"/>
    <w:rsid w:val="292A547C"/>
    <w:rsid w:val="2CCA7ABD"/>
    <w:rsid w:val="37913034"/>
    <w:rsid w:val="39951809"/>
    <w:rsid w:val="46C80455"/>
    <w:rsid w:val="488D470C"/>
    <w:rsid w:val="4926189D"/>
    <w:rsid w:val="4E081935"/>
    <w:rsid w:val="4FEF420F"/>
    <w:rsid w:val="501817A4"/>
    <w:rsid w:val="53B47EDC"/>
    <w:rsid w:val="580300DD"/>
    <w:rsid w:val="594A3516"/>
    <w:rsid w:val="59783D5F"/>
    <w:rsid w:val="5A7E44BA"/>
    <w:rsid w:val="633E31BA"/>
    <w:rsid w:val="6CC3117E"/>
    <w:rsid w:val="6F9A486B"/>
    <w:rsid w:val="7614205F"/>
    <w:rsid w:val="77AA1084"/>
    <w:rsid w:val="78EA570A"/>
    <w:rsid w:val="79A46F02"/>
    <w:rsid w:val="7FEB7D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8"/>
    <w:qFormat/>
    <w:uiPriority w:val="0"/>
    <w:pPr>
      <w:ind w:left="100" w:leftChars="2500"/>
    </w:p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8">
    <w:name w:val="日期 Char"/>
    <w:basedOn w:val="7"/>
    <w:link w:val="2"/>
    <w:qFormat/>
    <w:uiPriority w:val="0"/>
    <w:rPr>
      <w:rFonts w:ascii="Times New Roman" w:hAnsi="Times New Roman" w:eastAsia="宋体" w:cs="Times New Roman"/>
      <w:kern w:val="2"/>
      <w:sz w:val="21"/>
      <w:szCs w:val="24"/>
    </w:rPr>
  </w:style>
  <w:style w:type="character" w:styleId="9">
    <w:name w:val="Placeholder Text"/>
    <w:basedOn w:val="7"/>
    <w:semiHidden/>
    <w:qFormat/>
    <w:uiPriority w:val="99"/>
    <w:rPr>
      <w:color w:val="808080"/>
    </w:rPr>
  </w:style>
  <w:style w:type="character" w:customStyle="1" w:styleId="10">
    <w:name w:val="页眉 Char"/>
    <w:basedOn w:val="7"/>
    <w:link w:val="4"/>
    <w:qFormat/>
    <w:uiPriority w:val="0"/>
    <w:rPr>
      <w:rFonts w:ascii="Times New Roman" w:hAnsi="Times New Roman" w:eastAsia="宋体" w:cs="Times New Roman"/>
      <w:kern w:val="2"/>
      <w:sz w:val="18"/>
      <w:szCs w:val="18"/>
    </w:rPr>
  </w:style>
  <w:style w:type="character" w:customStyle="1" w:styleId="11">
    <w:name w:val="页脚 Char"/>
    <w:basedOn w:val="7"/>
    <w:link w:val="3"/>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7</Pages>
  <Words>3519</Words>
  <Characters>3684</Characters>
  <Lines>17</Lines>
  <Paragraphs>4</Paragraphs>
  <TotalTime>8</TotalTime>
  <ScaleCrop>false</ScaleCrop>
  <LinksUpToDate>false</LinksUpToDate>
  <CharactersWithSpaces>3720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2020-09-23T05:21:00Z</dcterms:created>
  <dc:creator>陈悦</dc:creator>
  <cp:lastModifiedBy>蒲公英的约定</cp:lastModifiedBy>
  <cp:lastPrinted>2024-09-09T02:35:00Z</cp:lastPrinted>
  <dcterms:modified xsi:type="dcterms:W3CDTF">2025-09-09T07:41:12Z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985CC226E3694E17800E05B8A405EAA0_13</vt:lpwstr>
  </property>
  <property fmtid="{D5CDD505-2E9C-101B-9397-08002B2CF9AE}" pid="4" name="KSOTemplateDocerSaveRecord">
    <vt:lpwstr>eyJoZGlkIjoiMzc2NjgzMjdhZWRhMmY4N2JiYjQ3ZWMyODk2YmJhZTgiLCJ1c2VySWQiOiIyODk0ODc1NTYifQ==</vt:lpwstr>
  </property>
</Properties>
</file>