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外国语言文化学院关于推荐优秀应届本科毕业生免试攻读研究生工作实施细则</w:t>
      </w:r>
    </w:p>
    <w:p>
      <w:pPr>
        <w:spacing w:after="80" w:lineRule="auto" w:line="360"/>
        <w:ind w:firstLine="482"/>
        <w:jc w:val="both"/>
      </w:pPr>
      <w:r>
        <w:rPr>
          <w:rFonts w:ascii="Times New Roman" w:hAnsi="Times New Roman" w:eastAsia="宋体"/>
          <w:b w:val="0"/>
          <w:sz w:val="24"/>
        </w:rPr>
        <w:t>外国语言文化学院关于推荐优秀应届本科毕业生免试攻读研究生工作实施细则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学院成立推免生遴选工作小组及相关机构，负责制定学院推免工作的实施细则并具体组织实施。</w:t>
      </w:r>
    </w:p>
    <w:p>
      <w:pPr>
        <w:spacing w:after="80" w:lineRule="auto" w:line="360"/>
        <w:ind w:firstLine="482"/>
        <w:jc w:val="both"/>
      </w:pPr>
      <w:r>
        <w:rPr>
          <w:rFonts w:ascii="Times New Roman" w:hAnsi="Times New Roman" w:eastAsia="宋体"/>
          <w:b w:val="0"/>
          <w:sz w:val="24"/>
        </w:rPr>
        <w:t>2. 推免生遴选工作领导小组：组长为书记、院长；副组长为分管教学工作、学生工作、科研工作的副院长；组员为专业教研室主任和副主任、教学科研办主任。</w:t>
      </w:r>
    </w:p>
    <w:p>
      <w:pPr>
        <w:spacing w:after="80" w:lineRule="auto" w:line="360"/>
        <w:ind w:firstLine="482"/>
        <w:jc w:val="both"/>
      </w:pPr>
      <w:r>
        <w:rPr>
          <w:rFonts w:ascii="Times New Roman" w:hAnsi="Times New Roman" w:eastAsia="宋体"/>
          <w:b w:val="0"/>
          <w:sz w:val="24"/>
        </w:rPr>
        <w:t>3. 推免生遴选工作监督小组：组长为学院党委纪检委员或其他委员；组员为学院党政办主任、学工办主任、辅导员。</w:t>
      </w:r>
    </w:p>
    <w:p>
      <w:pPr>
        <w:spacing w:after="80" w:lineRule="auto" w:line="360"/>
        <w:ind w:firstLine="482"/>
        <w:jc w:val="both"/>
      </w:pPr>
      <w:r>
        <w:rPr>
          <w:rFonts w:ascii="Times New Roman" w:hAnsi="Times New Roman" w:eastAsia="宋体"/>
          <w:b w:val="0"/>
          <w:sz w:val="24"/>
        </w:rPr>
        <w:t>4. 推免生综合考核专家组：从学院学术委员会和教学指导委员会成员组成的专家库中抽取，人数不少于7人，且为单数。</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1. 坚持“知识、能力、素质全面考查、综合评价、择优选拔”的工作方针，严格按标准进行。</w:t>
      </w:r>
    </w:p>
    <w:p>
      <w:pPr>
        <w:spacing w:after="80" w:lineRule="auto" w:line="360"/>
        <w:ind w:firstLine="482"/>
        <w:jc w:val="both"/>
      </w:pPr>
      <w:r>
        <w:rPr>
          <w:rFonts w:ascii="Times New Roman" w:hAnsi="Times New Roman" w:eastAsia="宋体"/>
          <w:b w:val="0"/>
          <w:sz w:val="24"/>
        </w:rPr>
        <w:t>2. 坚持“公平、公正、公开”的原则，严格按程序进行。</w:t>
      </w:r>
    </w:p>
    <w:p>
      <w:pPr>
        <w:spacing w:before="160" w:after="80" w:lineRule="auto" w:line="360"/>
        <w:jc w:val="left"/>
      </w:pPr>
      <w:r>
        <w:rPr>
          <w:rFonts w:ascii="Times New Roman" w:hAnsi="Times New Roman" w:eastAsia="宋体"/>
          <w:b/>
          <w:sz w:val="28"/>
        </w:rPr>
        <w:t>三、推荐基本条件</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3. 勤奋学习，刻苦钻研，成绩优秀，有较强的创新意识、创新能力和专业能力。</w:t>
      </w:r>
    </w:p>
    <w:p>
      <w:pPr>
        <w:spacing w:after="80" w:lineRule="auto" w:line="360"/>
        <w:ind w:firstLine="482"/>
        <w:jc w:val="both"/>
      </w:pPr>
      <w:r>
        <w:rPr>
          <w:rFonts w:ascii="Times New Roman" w:hAnsi="Times New Roman" w:eastAsia="宋体"/>
          <w:b w:val="0"/>
          <w:sz w:val="24"/>
        </w:rPr>
        <w:t>4. 学风端正，诚实守信，无任何考试作弊和剽窃他人学术成果记录。</w:t>
      </w:r>
    </w:p>
    <w:p>
      <w:pPr>
        <w:spacing w:after="80" w:lineRule="auto" w:line="360"/>
        <w:ind w:firstLine="482"/>
        <w:jc w:val="both"/>
      </w:pPr>
      <w:r>
        <w:rPr>
          <w:rFonts w:ascii="Times New Roman" w:hAnsi="Times New Roman" w:eastAsia="宋体"/>
          <w:b w:val="0"/>
          <w:sz w:val="24"/>
        </w:rPr>
        <w:t>5. 品行优良，遵纪守法，无任何违法违纪记录或受处分记录。</w:t>
      </w:r>
    </w:p>
    <w:p>
      <w:pPr>
        <w:spacing w:after="80" w:lineRule="auto" w:line="360"/>
        <w:ind w:firstLine="482"/>
        <w:jc w:val="both"/>
      </w:pPr>
      <w:r>
        <w:rPr>
          <w:rFonts w:ascii="Times New Roman" w:hAnsi="Times New Roman" w:eastAsia="宋体"/>
          <w:b w:val="0"/>
          <w:sz w:val="24"/>
        </w:rPr>
        <w:t>6. 无不及格和无成绩课程。</w:t>
      </w:r>
    </w:p>
    <w:p>
      <w:pPr>
        <w:spacing w:after="80" w:lineRule="auto" w:line="360"/>
        <w:ind w:firstLine="482"/>
        <w:jc w:val="both"/>
      </w:pPr>
      <w:r>
        <w:rPr>
          <w:rFonts w:ascii="Times New Roman" w:hAnsi="Times New Roman" w:eastAsia="宋体"/>
          <w:b w:val="0"/>
          <w:sz w:val="24"/>
        </w:rPr>
        <w:t>7. 专业四级考试成绩等级为合格及以上。</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学院依据学校下达的推免生名额，综合考虑应届毕业生人数、创新特长生人数、人才培养模式改革需要及近年推免生报名及录取等情况进行名额分配。</w:t>
      </w:r>
    </w:p>
    <w:p>
      <w:pPr>
        <w:spacing w:after="80" w:lineRule="auto" w:line="360"/>
        <w:ind w:firstLine="482"/>
        <w:jc w:val="both"/>
      </w:pPr>
      <w:r>
        <w:rPr>
          <w:rFonts w:ascii="Times New Roman" w:hAnsi="Times New Roman" w:eastAsia="宋体"/>
          <w:b w:val="0"/>
          <w:sz w:val="24"/>
        </w:rPr>
        <w:t>2. 研究生支教团推免生名额按国家规定单列，不在学校下拨给学院的名额范围内。</w:t>
      </w:r>
    </w:p>
    <w:p>
      <w:pPr>
        <w:spacing w:before="160" w:after="80" w:lineRule="auto" w:line="360"/>
        <w:jc w:val="left"/>
      </w:pPr>
      <w:r>
        <w:rPr>
          <w:rFonts w:ascii="Times New Roman" w:hAnsi="Times New Roman" w:eastAsia="宋体"/>
          <w:b/>
          <w:sz w:val="28"/>
        </w:rPr>
        <w:t>五、推免生资格申请条件</w:t>
      </w:r>
    </w:p>
    <w:p>
      <w:pPr>
        <w:spacing w:after="80" w:lineRule="auto" w:line="360"/>
        <w:ind w:firstLine="482"/>
        <w:jc w:val="both"/>
      </w:pPr>
      <w:r>
        <w:rPr>
          <w:rFonts w:ascii="Times New Roman" w:hAnsi="Times New Roman" w:eastAsia="宋体"/>
          <w:b w:val="0"/>
          <w:sz w:val="24"/>
        </w:rPr>
        <w:t>1. 普通类推免生：满足推荐基本条件，学习成绩GPA（总平均学分绩点）排名专业前30%，且获得学院综合考核资格，参加考核，成绩有效。</w:t>
      </w:r>
    </w:p>
    <w:p>
      <w:pPr>
        <w:spacing w:after="80" w:lineRule="auto" w:line="360"/>
        <w:ind w:firstLine="482"/>
        <w:jc w:val="both"/>
      </w:pPr>
      <w:r>
        <w:rPr>
          <w:rFonts w:ascii="Times New Roman" w:hAnsi="Times New Roman" w:eastAsia="宋体"/>
          <w:b w:val="0"/>
          <w:sz w:val="24"/>
        </w:rPr>
        <w:t>2. 创新特长类推免生：满足推荐基本条件，学习成绩GPA排名专业前50%，且符合大学生创新创业中心规定的选拔条件（在五星级及以上竞赛中获一等奖及以上奖项的竞赛团队主力队员，“国家级大学生创新创业训练计划”优秀项目的核心成员）。</w:t>
      </w:r>
    </w:p>
    <w:p>
      <w:pPr>
        <w:spacing w:after="80" w:lineRule="auto" w:line="360"/>
        <w:ind w:firstLine="482"/>
        <w:jc w:val="both"/>
      </w:pPr>
      <w:r>
        <w:rPr>
          <w:rFonts w:ascii="Times New Roman" w:hAnsi="Times New Roman" w:eastAsia="宋体"/>
          <w:b w:val="0"/>
          <w:sz w:val="24"/>
        </w:rPr>
        <w:t>3. 两年制辅导员推免生：满足推荐基本条件，学习成绩GPA排名专业前50%，且符合学生工作处规定的选拔条件。</w:t>
      </w:r>
    </w:p>
    <w:p>
      <w:pPr>
        <w:spacing w:after="80" w:lineRule="auto" w:line="360"/>
        <w:ind w:firstLine="482"/>
        <w:jc w:val="both"/>
      </w:pPr>
      <w:r>
        <w:rPr>
          <w:rFonts w:ascii="Times New Roman" w:hAnsi="Times New Roman" w:eastAsia="宋体"/>
          <w:b w:val="0"/>
          <w:sz w:val="24"/>
        </w:rPr>
        <w:t>4. 支教团推免生：满足推荐基本条件，学生成绩GPA排名专业前30%，且符合支教团招募条件。</w:t>
      </w:r>
    </w:p>
    <w:p>
      <w:pPr>
        <w:spacing w:before="160" w:after="80" w:lineRule="auto" w:line="360"/>
        <w:jc w:val="left"/>
      </w:pPr>
      <w:r>
        <w:rPr>
          <w:rFonts w:ascii="Times New Roman" w:hAnsi="Times New Roman" w:eastAsia="宋体"/>
          <w:b/>
          <w:sz w:val="28"/>
        </w:rPr>
        <w:t>六、专业综合排名办法</w:t>
      </w:r>
    </w:p>
    <w:p>
      <w:pPr>
        <w:spacing w:after="80" w:lineRule="auto" w:line="360"/>
        <w:ind w:firstLine="482"/>
        <w:jc w:val="both"/>
      </w:pPr>
      <w:r>
        <w:rPr>
          <w:rFonts w:ascii="Times New Roman" w:hAnsi="Times New Roman" w:eastAsia="宋体"/>
          <w:b w:val="0"/>
          <w:sz w:val="24"/>
        </w:rPr>
        <w:t>1. 专业综合排名成绩=加权平均学分绩×W1+综合考核成绩×W2，加权平均学分绩和综合考核成绩满分均为100分，其中W1=80%，W2=20%。该排名办法只适用于以“五、（一）”条件申请的学生。</w:t>
      </w:r>
    </w:p>
    <w:p>
      <w:pPr>
        <w:spacing w:after="80" w:lineRule="auto" w:line="360"/>
        <w:ind w:firstLine="482"/>
        <w:jc w:val="both"/>
      </w:pPr>
      <w:r>
        <w:rPr>
          <w:rFonts w:ascii="Times New Roman" w:hAnsi="Times New Roman" w:eastAsia="宋体"/>
          <w:b w:val="0"/>
          <w:sz w:val="24"/>
        </w:rPr>
        <w:t>2. 加权平均学分绩计算办法：加权平均学分绩=(GPA+5)×10。</w:t>
      </w:r>
    </w:p>
    <w:p>
      <w:pPr>
        <w:spacing w:after="80" w:lineRule="auto" w:line="360"/>
        <w:ind w:firstLine="482"/>
        <w:jc w:val="both"/>
      </w:pPr>
      <w:r>
        <w:rPr>
          <w:rFonts w:ascii="Times New Roman" w:hAnsi="Times New Roman" w:eastAsia="宋体"/>
          <w:b w:val="0"/>
          <w:sz w:val="24"/>
        </w:rPr>
        <w:t>3. 综合考核组织及成绩计算办法：</w:t>
      </w:r>
    </w:p>
    <w:p>
      <w:pPr>
        <w:spacing w:after="80" w:lineRule="auto" w:line="360"/>
        <w:ind w:firstLine="482"/>
        <w:jc w:val="both"/>
      </w:pPr>
      <w:r>
        <w:rPr>
          <w:rFonts w:ascii="Times New Roman" w:hAnsi="Times New Roman" w:eastAsia="宋体"/>
          <w:b w:val="0"/>
          <w:sz w:val="24"/>
        </w:rPr>
        <w:t>（1）综合考核由学院“推免生综合考核专家组”负责组织。</w:t>
      </w:r>
    </w:p>
    <w:p>
      <w:pPr>
        <w:spacing w:after="80" w:lineRule="auto" w:line="360"/>
        <w:ind w:firstLine="482"/>
        <w:jc w:val="both"/>
      </w:pPr>
      <w:r>
        <w:rPr>
          <w:rFonts w:ascii="Times New Roman" w:hAnsi="Times New Roman" w:eastAsia="宋体"/>
          <w:b w:val="0"/>
          <w:sz w:val="24"/>
        </w:rPr>
        <w:t>（2）以“五、（一）”条件申请的学生有资格参加综合考核的人数为专业推免生名额的200%，按照学习成绩GPA在专业内由高到低依次确定，若有人放弃，名额可以顺延，但学习成绩GPA必须位于专业排名的前30%。</w:t>
      </w:r>
    </w:p>
    <w:p>
      <w:pPr>
        <w:spacing w:after="80" w:lineRule="auto" w:line="360"/>
        <w:ind w:firstLine="482"/>
        <w:jc w:val="both"/>
      </w:pPr>
      <w:r>
        <w:rPr>
          <w:rFonts w:ascii="Times New Roman" w:hAnsi="Times New Roman" w:eastAsia="宋体"/>
          <w:b w:val="0"/>
          <w:sz w:val="24"/>
        </w:rPr>
        <w:t>（3）综合考核内容包括对学生的知识掌握和学术研究能力（M1）、创新能力（学科竞赛）（M2）、综合素质测评（M3）等方面的评价，其中M1系数为0.3，M2系数为0.3，M3系数为0.4。以“五、（一）（二）”条件申请的学生应全部参加综合考核。</w:t>
      </w:r>
    </w:p>
    <w:p>
      <w:pPr>
        <w:spacing w:after="80" w:lineRule="auto" w:line="360"/>
        <w:ind w:firstLine="482"/>
        <w:jc w:val="both"/>
      </w:pPr>
      <w:r>
        <w:rPr>
          <w:rFonts w:ascii="Times New Roman" w:hAnsi="Times New Roman" w:eastAsia="宋体"/>
          <w:b w:val="0"/>
          <w:sz w:val="24"/>
        </w:rPr>
        <w:t>（4）知识掌握和学术研究能力考核（M1）方式为现场答辩，主要考查学生掌握知识及应用能力、在科学研究中发现问题分析问题解决问题的能力、科学探索能力等。以学术论文作为加分项目，加分标准参考《关于修订的通知》（东秦校〔2025〕10号）的相关规定。</w:t>
      </w:r>
    </w:p>
    <w:p>
      <w:pPr>
        <w:spacing w:after="80" w:lineRule="auto" w:line="360"/>
        <w:ind w:firstLine="482"/>
        <w:jc w:val="both"/>
      </w:pPr>
      <w:r>
        <w:rPr>
          <w:rFonts w:ascii="Times New Roman" w:hAnsi="Times New Roman" w:eastAsia="宋体"/>
          <w:b w:val="0"/>
          <w:sz w:val="24"/>
        </w:rPr>
        <w:t>（5）学术论文加分明细：</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论文类别</w:t>
            </w:r>
          </w:p>
        </w:tc>
        <w:tc>
          <w:tcPr>
            <w:tcW w:type="dxa" w:w="4317"/>
          </w:tcPr>
          <w:p>
            <w:pPr>
              <w:spacing w:after="20" w:before="20"/>
            </w:pPr>
            <w:r/>
            <w:r>
              <w:rPr>
                <w:rFonts w:ascii="Times New Roman" w:hAnsi="Times New Roman" w:eastAsia="宋体"/>
                <w:b/>
                <w:sz w:val="21"/>
              </w:rPr>
              <w:t>加分</w:t>
            </w:r>
          </w:p>
        </w:tc>
      </w:tr>
      <w:tr>
        <w:tc>
          <w:tcPr>
            <w:tcW w:type="dxa" w:w="4317"/>
          </w:tcPr>
          <w:p>
            <w:pPr>
              <w:spacing w:after="20" w:before="20"/>
            </w:pPr>
            <w:r/>
            <w:r>
              <w:rPr>
                <w:rFonts w:ascii="Times New Roman" w:hAnsi="Times New Roman" w:eastAsia="宋体"/>
                <w:b w:val="0"/>
                <w:sz w:val="21"/>
              </w:rPr>
              <w:t>SCI一区、SSCI收录论文</w:t>
            </w:r>
          </w:p>
        </w:tc>
        <w:tc>
          <w:tcPr>
            <w:tcW w:type="dxa" w:w="4317"/>
          </w:tcPr>
          <w:p>
            <w:pPr>
              <w:spacing w:after="20" w:before="20"/>
            </w:pPr>
            <w:r/>
            <w:r>
              <w:rPr>
                <w:rFonts w:ascii="Times New Roman" w:hAnsi="Times New Roman" w:eastAsia="宋体"/>
                <w:b w:val="0"/>
                <w:sz w:val="21"/>
              </w:rPr>
              <w:t>60分</w:t>
            </w:r>
          </w:p>
        </w:tc>
      </w:tr>
      <w:tr>
        <w:tc>
          <w:tcPr>
            <w:tcW w:type="dxa" w:w="4317"/>
          </w:tcPr>
          <w:p>
            <w:pPr>
              <w:spacing w:after="20" w:before="20"/>
            </w:pPr>
            <w:r/>
            <w:r>
              <w:rPr>
                <w:rFonts w:ascii="Times New Roman" w:hAnsi="Times New Roman" w:eastAsia="宋体"/>
                <w:b w:val="0"/>
                <w:sz w:val="21"/>
              </w:rPr>
              <w:t>SCI二区</w:t>
            </w:r>
          </w:p>
        </w:tc>
        <w:tc>
          <w:tcPr>
            <w:tcW w:type="dxa" w:w="4317"/>
          </w:tcPr>
          <w:p>
            <w:pPr>
              <w:spacing w:after="20" w:before="20"/>
            </w:pPr>
            <w:r/>
            <w:r>
              <w:rPr>
                <w:rFonts w:ascii="Times New Roman" w:hAnsi="Times New Roman" w:eastAsia="宋体"/>
                <w:b w:val="0"/>
                <w:sz w:val="21"/>
              </w:rPr>
              <w:t>40分</w:t>
            </w:r>
          </w:p>
        </w:tc>
      </w:tr>
      <w:tr>
        <w:tc>
          <w:tcPr>
            <w:tcW w:type="dxa" w:w="4317"/>
          </w:tcPr>
          <w:p>
            <w:pPr>
              <w:spacing w:after="20" w:before="20"/>
            </w:pPr>
            <w:r/>
            <w:r>
              <w:rPr>
                <w:rFonts w:ascii="Times New Roman" w:hAnsi="Times New Roman" w:eastAsia="宋体"/>
                <w:b w:val="0"/>
                <w:sz w:val="21"/>
              </w:rPr>
              <w:t>SCI三区</w:t>
            </w:r>
          </w:p>
        </w:tc>
        <w:tc>
          <w:tcPr>
            <w:tcW w:type="dxa" w:w="4317"/>
          </w:tcPr>
          <w:p>
            <w:pPr>
              <w:spacing w:after="20" w:before="20"/>
            </w:pPr>
            <w:r/>
            <w:r>
              <w:rPr>
                <w:rFonts w:ascii="Times New Roman" w:hAnsi="Times New Roman" w:eastAsia="宋体"/>
                <w:b w:val="0"/>
                <w:sz w:val="21"/>
              </w:rPr>
              <w:t>32分</w:t>
            </w:r>
          </w:p>
        </w:tc>
      </w:tr>
      <w:tr>
        <w:tc>
          <w:tcPr>
            <w:tcW w:type="dxa" w:w="4317"/>
          </w:tcPr>
          <w:p>
            <w:pPr>
              <w:spacing w:after="20" w:before="20"/>
            </w:pPr>
            <w:r/>
            <w:r>
              <w:rPr>
                <w:rFonts w:ascii="Times New Roman" w:hAnsi="Times New Roman" w:eastAsia="宋体"/>
                <w:b w:val="0"/>
                <w:sz w:val="21"/>
              </w:rPr>
              <w:t>EI收录期刊论文、CSSCI收录</w:t>
            </w:r>
          </w:p>
        </w:tc>
        <w:tc>
          <w:tcPr>
            <w:tcW w:type="dxa" w:w="4317"/>
          </w:tcPr>
          <w:p>
            <w:pPr>
              <w:spacing w:after="20" w:before="20"/>
            </w:pPr>
            <w:r/>
            <w:r>
              <w:rPr>
                <w:rFonts w:ascii="Times New Roman" w:hAnsi="Times New Roman" w:eastAsia="宋体"/>
                <w:b w:val="0"/>
                <w:sz w:val="21"/>
              </w:rPr>
              <w:t>20分</w:t>
            </w:r>
          </w:p>
        </w:tc>
      </w:tr>
      <w:tr>
        <w:tc>
          <w:tcPr>
            <w:tcW w:type="dxa" w:w="4317"/>
          </w:tcPr>
          <w:p>
            <w:pPr>
              <w:spacing w:after="20" w:before="20"/>
            </w:pPr>
            <w:r/>
            <w:r>
              <w:rPr>
                <w:rFonts w:ascii="Times New Roman" w:hAnsi="Times New Roman" w:eastAsia="宋体"/>
                <w:b w:val="0"/>
                <w:sz w:val="21"/>
              </w:rPr>
              <w:t>中文核心期刊</w:t>
            </w:r>
          </w:p>
        </w:tc>
        <w:tc>
          <w:tcPr>
            <w:tcW w:type="dxa" w:w="4317"/>
          </w:tcPr>
          <w:p>
            <w:pPr>
              <w:spacing w:after="20" w:before="20"/>
            </w:pPr>
            <w:r/>
            <w:r>
              <w:rPr>
                <w:rFonts w:ascii="Times New Roman" w:hAnsi="Times New Roman" w:eastAsia="宋体"/>
                <w:b w:val="0"/>
                <w:sz w:val="21"/>
              </w:rPr>
              <w:t>12分</w:t>
            </w:r>
          </w:p>
        </w:tc>
      </w:tr>
      <w:tr>
        <w:tc>
          <w:tcPr>
            <w:tcW w:type="dxa" w:w="4317"/>
          </w:tcPr>
          <w:p>
            <w:pPr>
              <w:spacing w:after="20" w:before="20"/>
            </w:pPr>
            <w:r/>
            <w:r>
              <w:rPr>
                <w:rFonts w:ascii="Times New Roman" w:hAnsi="Times New Roman" w:eastAsia="宋体"/>
                <w:b w:val="0"/>
                <w:sz w:val="21"/>
              </w:rPr>
              <w:t>SCI收录会议论文</w:t>
            </w:r>
          </w:p>
        </w:tc>
        <w:tc>
          <w:tcPr>
            <w:tcW w:type="dxa" w:w="4317"/>
          </w:tcPr>
          <w:p>
            <w:pPr>
              <w:spacing w:after="20" w:before="20"/>
            </w:pPr>
            <w:r/>
            <w:r>
              <w:rPr>
                <w:rFonts w:ascii="Times New Roman" w:hAnsi="Times New Roman" w:eastAsia="宋体"/>
                <w:b w:val="0"/>
                <w:sz w:val="21"/>
              </w:rPr>
              <w:t>8分</w:t>
            </w:r>
          </w:p>
        </w:tc>
      </w:tr>
      <w:tr>
        <w:tc>
          <w:tcPr>
            <w:tcW w:type="dxa" w:w="4317"/>
          </w:tcPr>
          <w:p>
            <w:pPr>
              <w:spacing w:after="20" w:before="20"/>
            </w:pPr>
            <w:r/>
            <w:r>
              <w:rPr>
                <w:rFonts w:ascii="Times New Roman" w:hAnsi="Times New Roman" w:eastAsia="宋体"/>
                <w:b w:val="0"/>
                <w:sz w:val="21"/>
              </w:rPr>
              <w:t>EI收录会议论文、CSCD收录</w:t>
            </w:r>
          </w:p>
        </w:tc>
        <w:tc>
          <w:tcPr>
            <w:tcW w:type="dxa" w:w="4317"/>
          </w:tcPr>
          <w:p>
            <w:pPr>
              <w:spacing w:after="20" w:before="20"/>
            </w:pPr>
            <w:r/>
            <w:r>
              <w:rPr>
                <w:rFonts w:ascii="Times New Roman" w:hAnsi="Times New Roman" w:eastAsia="宋体"/>
                <w:b w:val="0"/>
                <w:sz w:val="21"/>
              </w:rPr>
              <w:t>加相应分数</w:t>
            </w:r>
          </w:p>
        </w:tc>
      </w:tr>
    </w:tbl>
    <w:p>
      <w:pPr>
        <w:spacing w:after="80" w:lineRule="auto" w:line="360"/>
        <w:ind w:firstLine="482"/>
        <w:jc w:val="both"/>
      </w:pPr>
      <w:r>
        <w:rPr>
          <w:rFonts w:ascii="Times New Roman" w:hAnsi="Times New Roman" w:eastAsia="宋体"/>
          <w:b w:val="0"/>
          <w:sz w:val="24"/>
        </w:rPr>
        <w:t>论文发表或录用日期须在推免当年8月31日之前，须以“东北大学”或“东北大学秦皇岛分校”为第一署名单位，原则上仅学生为第一作者的论文给予加分，实行代表作制，多篇论文限加1项。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