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02" w:lineRule="auto"/>
        <w:rPr>
          <w:rFonts w:ascii="Arial"/>
          <w:sz w:val="21"/>
        </w:rPr>
      </w:pPr>
      <w:r/>
    </w:p>
    <w:p>
      <w:pPr>
        <w:ind w:left="1333"/>
        <w:spacing w:before="280" w:line="221" w:lineRule="auto"/>
        <w:outlineLvl w:val="0"/>
        <w:rPr>
          <w:rFonts w:ascii="SimHei" w:hAnsi="SimHei" w:eastAsia="SimHei" w:cs="SimHei"/>
          <w:sz w:val="86"/>
          <w:szCs w:val="86"/>
        </w:rPr>
      </w:pPr>
      <w:r>
        <w:rPr>
          <w:rFonts w:ascii="SimHei" w:hAnsi="SimHei" w:eastAsia="SimHei" w:cs="SimHei"/>
          <w:sz w:val="86"/>
          <w:szCs w:val="86"/>
          <w:b/>
          <w:bCs/>
          <w:color w:val="F04010"/>
          <w:spacing w:val="-64"/>
          <w:w w:val="75"/>
        </w:rPr>
        <w:t>上海大学中欧工程技术学院</w:t>
      </w:r>
    </w:p>
    <w:p>
      <w:pPr>
        <w:spacing w:line="479" w:lineRule="auto"/>
        <w:rPr>
          <w:rFonts w:ascii="Arial"/>
          <w:sz w:val="21"/>
        </w:rPr>
      </w:pPr>
      <w:r/>
    </w:p>
    <w:p>
      <w:pPr>
        <w:pStyle w:val="BodyText"/>
        <w:ind w:left="3614"/>
        <w:spacing w:before="107" w:line="220" w:lineRule="auto"/>
        <w:rPr>
          <w:sz w:val="33"/>
          <w:szCs w:val="33"/>
        </w:rPr>
      </w:pPr>
      <w:r>
        <w:rPr>
          <w:sz w:val="33"/>
          <w:szCs w:val="33"/>
          <w:spacing w:val="-18"/>
        </w:rPr>
        <w:t>上大中欧[2025]6号</w:t>
      </w:r>
    </w:p>
    <w:p>
      <w:pPr>
        <w:ind w:firstLine="54"/>
        <w:spacing w:before="142" w:line="60" w:lineRule="exact"/>
        <w:rPr/>
      </w:pPr>
      <w:r>
        <w:rPr>
          <w:position w:val="-1"/>
        </w:rPr>
        <w:drawing>
          <wp:inline distT="0" distB="0" distL="0" distR="0">
            <wp:extent cx="5962637" cy="38175"/>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962637" cy="38175"/>
                    </a:xfrm>
                    <a:prstGeom prst="rect">
                      <a:avLst/>
                    </a:prstGeom>
                  </pic:spPr>
                </pic:pic>
              </a:graphicData>
            </a:graphic>
          </wp:inline>
        </w:drawing>
      </w:r>
    </w:p>
    <w:p>
      <w:pPr>
        <w:ind w:left="2668" w:right="1970" w:hanging="789"/>
        <w:spacing w:before="87" w:line="295" w:lineRule="auto"/>
        <w:rPr>
          <w:rFonts w:ascii="SimHei" w:hAnsi="SimHei" w:eastAsia="SimHei" w:cs="SimHei"/>
          <w:sz w:val="37"/>
          <w:szCs w:val="37"/>
        </w:rPr>
      </w:pPr>
      <w:r>
        <w:rPr>
          <w:rFonts w:ascii="SimHei" w:hAnsi="SimHei" w:eastAsia="SimHei" w:cs="SimHei"/>
          <w:sz w:val="37"/>
          <w:szCs w:val="37"/>
          <w:b/>
          <w:bCs/>
          <w:spacing w:val="-19"/>
        </w:rPr>
        <w:t>关于推荐</w:t>
      </w:r>
      <w:r>
        <w:rPr>
          <w:rFonts w:ascii="SimHei" w:hAnsi="SimHei" w:eastAsia="SimHei" w:cs="SimHei"/>
          <w:sz w:val="37"/>
          <w:szCs w:val="37"/>
          <w:spacing w:val="-80"/>
        </w:rPr>
        <w:t xml:space="preserve"> </w:t>
      </w:r>
      <w:r>
        <w:rPr>
          <w:rFonts w:ascii="SimHei" w:hAnsi="SimHei" w:eastAsia="SimHei" w:cs="SimHei"/>
          <w:sz w:val="37"/>
          <w:szCs w:val="37"/>
          <w:spacing w:val="-19"/>
        </w:rPr>
        <w:t>2026</w:t>
      </w:r>
      <w:r>
        <w:rPr>
          <w:rFonts w:ascii="SimHei" w:hAnsi="SimHei" w:eastAsia="SimHei" w:cs="SimHei"/>
          <w:sz w:val="37"/>
          <w:szCs w:val="37"/>
          <w:b/>
          <w:bCs/>
          <w:spacing w:val="-19"/>
        </w:rPr>
        <w:t>年优秀应届本科毕业生</w:t>
      </w:r>
      <w:r>
        <w:rPr>
          <w:rFonts w:ascii="SimHei" w:hAnsi="SimHei" w:eastAsia="SimHei" w:cs="SimHei"/>
          <w:sz w:val="37"/>
          <w:szCs w:val="37"/>
        </w:rPr>
        <w:t xml:space="preserve"> </w:t>
      </w:r>
      <w:r>
        <w:rPr>
          <w:rFonts w:ascii="SimHei" w:hAnsi="SimHei" w:eastAsia="SimHei" w:cs="SimHei"/>
          <w:sz w:val="37"/>
          <w:szCs w:val="37"/>
          <w:b/>
          <w:bCs/>
          <w:spacing w:val="-24"/>
        </w:rPr>
        <w:t>免试攻读研究生的实施办法</w:t>
      </w:r>
    </w:p>
    <w:p>
      <w:pPr>
        <w:pStyle w:val="BodyText"/>
        <w:ind w:left="74" w:right="141" w:firstLine="529"/>
        <w:spacing w:before="81" w:line="308" w:lineRule="auto"/>
        <w:rPr/>
      </w:pPr>
      <w:r>
        <w:rPr>
          <w:spacing w:val="-4"/>
        </w:rPr>
        <w:t>依据《上海大学2026年推荐优秀应届本科毕业生免试攻读研究生工作实施</w:t>
      </w:r>
      <w:r>
        <w:rPr>
          <w:spacing w:val="17"/>
        </w:rPr>
        <w:t xml:space="preserve"> </w:t>
      </w:r>
      <w:r>
        <w:rPr>
          <w:spacing w:val="3"/>
        </w:rPr>
        <w:t>办法》(上大内〔2025〕151号),制定中欧工程技术学院实施办法。</w:t>
      </w:r>
    </w:p>
    <w:p>
      <w:pPr>
        <w:pStyle w:val="BodyText"/>
        <w:ind w:left="608"/>
        <w:spacing w:before="100" w:line="219" w:lineRule="auto"/>
        <w:outlineLvl w:val="2"/>
        <w:rPr/>
      </w:pPr>
      <w:r>
        <w:rPr>
          <w:b/>
          <w:bCs/>
          <w:spacing w:val="-13"/>
        </w:rPr>
        <w:t>一、推荐名额</w:t>
      </w:r>
    </w:p>
    <w:p>
      <w:pPr>
        <w:pStyle w:val="BodyText"/>
        <w:ind w:left="74" w:right="142" w:firstLine="529"/>
        <w:spacing w:before="23" w:line="278" w:lineRule="auto"/>
        <w:rPr/>
      </w:pPr>
      <w:r>
        <w:rPr>
          <w:spacing w:val="-12"/>
        </w:rPr>
        <w:t>根据学校教务部的名额下达数，本学院推荐免试攻读研究生名额为</w:t>
      </w:r>
      <w:r>
        <w:rPr>
          <w:spacing w:val="-13"/>
        </w:rPr>
        <w:t>：拟推免</w:t>
      </w:r>
      <w:r>
        <w:rPr/>
        <w:t xml:space="preserve"> </w:t>
      </w:r>
      <w:r>
        <w:rPr>
          <w:spacing w:val="-1"/>
        </w:rPr>
        <w:t>名额27名，可推荐人数34人，按专业分布如下表。</w:t>
      </w:r>
    </w:p>
    <w:tbl>
      <w:tblPr>
        <w:tblStyle w:val="TableNormal"/>
        <w:tblW w:w="955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191"/>
        <w:gridCol w:w="3166"/>
        <w:gridCol w:w="3202"/>
      </w:tblGrid>
      <w:tr>
        <w:trPr>
          <w:trHeight w:val="333" w:hRule="atLeast"/>
        </w:trPr>
        <w:tc>
          <w:tcPr>
            <w:tcW w:w="3191" w:type="dxa"/>
            <w:vAlign w:val="top"/>
          </w:tcPr>
          <w:p>
            <w:pPr>
              <w:ind w:left="64"/>
              <w:spacing w:before="37" w:line="188" w:lineRule="auto"/>
              <w:rPr>
                <w:rFonts w:ascii="SimSun" w:hAnsi="SimSun" w:eastAsia="SimSun" w:cs="SimSun"/>
                <w:sz w:val="28"/>
                <w:szCs w:val="28"/>
              </w:rPr>
            </w:pPr>
            <w:r>
              <w:rPr>
                <w:rFonts w:ascii="SimSun" w:hAnsi="SimSun" w:eastAsia="SimSun" w:cs="SimSun"/>
                <w:sz w:val="28"/>
                <w:szCs w:val="28"/>
                <w:spacing w:val="3"/>
              </w:rPr>
              <w:t>专业名称</w:t>
            </w:r>
          </w:p>
        </w:tc>
        <w:tc>
          <w:tcPr>
            <w:tcW w:w="3166" w:type="dxa"/>
            <w:vAlign w:val="top"/>
          </w:tcPr>
          <w:p>
            <w:pPr>
              <w:ind w:left="53"/>
              <w:spacing w:before="36" w:line="189" w:lineRule="auto"/>
              <w:rPr>
                <w:rFonts w:ascii="SimSun" w:hAnsi="SimSun" w:eastAsia="SimSun" w:cs="SimSun"/>
                <w:sz w:val="28"/>
                <w:szCs w:val="28"/>
              </w:rPr>
            </w:pPr>
            <w:r>
              <w:rPr>
                <w:rFonts w:ascii="SimSun" w:hAnsi="SimSun" w:eastAsia="SimSun" w:cs="SimSun"/>
                <w:sz w:val="28"/>
                <w:szCs w:val="28"/>
                <w:spacing w:val="2"/>
              </w:rPr>
              <w:t>推免名额</w:t>
            </w:r>
          </w:p>
        </w:tc>
        <w:tc>
          <w:tcPr>
            <w:tcW w:w="3202" w:type="dxa"/>
            <w:vAlign w:val="top"/>
          </w:tcPr>
          <w:p>
            <w:pPr>
              <w:ind w:left="97"/>
              <w:spacing w:before="34" w:line="190" w:lineRule="auto"/>
              <w:rPr>
                <w:rFonts w:ascii="SimSun" w:hAnsi="SimSun" w:eastAsia="SimSun" w:cs="SimSun"/>
                <w:sz w:val="28"/>
                <w:szCs w:val="28"/>
              </w:rPr>
            </w:pPr>
            <w:r>
              <w:rPr>
                <w:rFonts w:ascii="SimSun" w:hAnsi="SimSun" w:eastAsia="SimSun" w:cs="SimSun"/>
                <w:sz w:val="28"/>
                <w:szCs w:val="28"/>
                <w:spacing w:val="2"/>
              </w:rPr>
              <w:t>可推荐人数</w:t>
            </w:r>
          </w:p>
        </w:tc>
      </w:tr>
      <w:tr>
        <w:trPr>
          <w:trHeight w:val="357" w:hRule="atLeast"/>
        </w:trPr>
        <w:tc>
          <w:tcPr>
            <w:tcW w:w="3191" w:type="dxa"/>
            <w:vAlign w:val="top"/>
          </w:tcPr>
          <w:p>
            <w:pPr>
              <w:ind w:left="64"/>
              <w:spacing w:before="42" w:line="201" w:lineRule="auto"/>
              <w:rPr>
                <w:rFonts w:ascii="SimSun" w:hAnsi="SimSun" w:eastAsia="SimSun" w:cs="SimSun"/>
                <w:sz w:val="28"/>
                <w:szCs w:val="28"/>
              </w:rPr>
            </w:pPr>
            <w:r>
              <w:rPr>
                <w:rFonts w:ascii="SimSun" w:hAnsi="SimSun" w:eastAsia="SimSun" w:cs="SimSun"/>
                <w:sz w:val="28"/>
                <w:szCs w:val="28"/>
                <w:spacing w:val="1"/>
              </w:rPr>
              <w:t>材料科学与工程</w:t>
            </w:r>
          </w:p>
        </w:tc>
        <w:tc>
          <w:tcPr>
            <w:tcW w:w="3166" w:type="dxa"/>
            <w:vAlign w:val="top"/>
          </w:tcPr>
          <w:p>
            <w:pPr>
              <w:ind w:left="53"/>
              <w:spacing w:before="48" w:line="197" w:lineRule="auto"/>
              <w:rPr>
                <w:rFonts w:ascii="SimSun" w:hAnsi="SimSun" w:eastAsia="SimSun" w:cs="SimSun"/>
                <w:sz w:val="28"/>
                <w:szCs w:val="28"/>
              </w:rPr>
            </w:pPr>
            <w:r>
              <w:rPr>
                <w:rFonts w:ascii="SimSun" w:hAnsi="SimSun" w:eastAsia="SimSun" w:cs="SimSun"/>
                <w:sz w:val="28"/>
                <w:szCs w:val="28"/>
                <w:spacing w:val="18"/>
              </w:rPr>
              <w:t>3名</w:t>
            </w:r>
          </w:p>
        </w:tc>
        <w:tc>
          <w:tcPr>
            <w:tcW w:w="3202" w:type="dxa"/>
            <w:vAlign w:val="top"/>
          </w:tcPr>
          <w:p>
            <w:pPr>
              <w:ind w:left="97"/>
              <w:spacing w:before="48" w:line="197" w:lineRule="auto"/>
              <w:rPr>
                <w:rFonts w:ascii="SimSun" w:hAnsi="SimSun" w:eastAsia="SimSun" w:cs="SimSun"/>
                <w:sz w:val="28"/>
                <w:szCs w:val="28"/>
              </w:rPr>
            </w:pPr>
            <w:r>
              <w:rPr>
                <w:rFonts w:ascii="SimSun" w:hAnsi="SimSun" w:eastAsia="SimSun" w:cs="SimSun"/>
                <w:sz w:val="28"/>
                <w:szCs w:val="28"/>
                <w:spacing w:val="6"/>
              </w:rPr>
              <w:t>4人</w:t>
            </w:r>
          </w:p>
        </w:tc>
      </w:tr>
      <w:tr>
        <w:trPr>
          <w:trHeight w:val="357" w:hRule="atLeast"/>
        </w:trPr>
        <w:tc>
          <w:tcPr>
            <w:tcW w:w="3191" w:type="dxa"/>
            <w:vAlign w:val="top"/>
          </w:tcPr>
          <w:p>
            <w:pPr>
              <w:ind w:left="64"/>
              <w:spacing w:before="45" w:line="199" w:lineRule="auto"/>
              <w:rPr>
                <w:rFonts w:ascii="SimSun" w:hAnsi="SimSun" w:eastAsia="SimSun" w:cs="SimSun"/>
                <w:sz w:val="28"/>
                <w:szCs w:val="28"/>
              </w:rPr>
            </w:pPr>
            <w:r>
              <w:rPr>
                <w:rFonts w:ascii="SimSun" w:hAnsi="SimSun" w:eastAsia="SimSun" w:cs="SimSun"/>
                <w:sz w:val="28"/>
                <w:szCs w:val="28"/>
                <w:spacing w:val="-2"/>
              </w:rPr>
              <w:t>机械工程</w:t>
            </w:r>
          </w:p>
        </w:tc>
        <w:tc>
          <w:tcPr>
            <w:tcW w:w="3166" w:type="dxa"/>
            <w:vAlign w:val="top"/>
          </w:tcPr>
          <w:p>
            <w:pPr>
              <w:ind w:left="53"/>
              <w:spacing w:before="51" w:line="195" w:lineRule="auto"/>
              <w:rPr>
                <w:rFonts w:ascii="SimSun" w:hAnsi="SimSun" w:eastAsia="SimSun" w:cs="SimSun"/>
                <w:sz w:val="28"/>
                <w:szCs w:val="28"/>
              </w:rPr>
            </w:pPr>
            <w:r>
              <w:rPr>
                <w:rFonts w:ascii="SimSun" w:hAnsi="SimSun" w:eastAsia="SimSun" w:cs="SimSun"/>
                <w:sz w:val="28"/>
                <w:szCs w:val="28"/>
                <w:spacing w:val="18"/>
              </w:rPr>
              <w:t>8名</w:t>
            </w:r>
          </w:p>
        </w:tc>
        <w:tc>
          <w:tcPr>
            <w:tcW w:w="3202" w:type="dxa"/>
            <w:vAlign w:val="top"/>
          </w:tcPr>
          <w:p>
            <w:pPr>
              <w:ind w:left="97"/>
              <w:spacing w:before="51" w:line="195" w:lineRule="auto"/>
              <w:rPr>
                <w:rFonts w:ascii="SimSun" w:hAnsi="SimSun" w:eastAsia="SimSun" w:cs="SimSun"/>
                <w:sz w:val="28"/>
                <w:szCs w:val="28"/>
              </w:rPr>
            </w:pPr>
            <w:r>
              <w:rPr>
                <w:rFonts w:ascii="SimSun" w:hAnsi="SimSun" w:eastAsia="SimSun" w:cs="SimSun"/>
                <w:sz w:val="28"/>
                <w:szCs w:val="28"/>
                <w:spacing w:val="4"/>
              </w:rPr>
              <w:t>10人</w:t>
            </w:r>
          </w:p>
        </w:tc>
      </w:tr>
      <w:tr>
        <w:trPr>
          <w:trHeight w:val="343" w:hRule="atLeast"/>
        </w:trPr>
        <w:tc>
          <w:tcPr>
            <w:tcW w:w="3191" w:type="dxa"/>
            <w:vAlign w:val="top"/>
          </w:tcPr>
          <w:p>
            <w:pPr>
              <w:ind w:left="64"/>
              <w:spacing w:before="38" w:line="194" w:lineRule="auto"/>
              <w:rPr>
                <w:rFonts w:ascii="SimSun" w:hAnsi="SimSun" w:eastAsia="SimSun" w:cs="SimSun"/>
                <w:sz w:val="28"/>
                <w:szCs w:val="28"/>
              </w:rPr>
            </w:pPr>
            <w:r>
              <w:rPr>
                <w:rFonts w:ascii="SimSun" w:hAnsi="SimSun" w:eastAsia="SimSun" w:cs="SimSun"/>
                <w:sz w:val="28"/>
                <w:szCs w:val="28"/>
                <w:spacing w:val="2"/>
              </w:rPr>
              <w:t>信息工程</w:t>
            </w:r>
          </w:p>
        </w:tc>
        <w:tc>
          <w:tcPr>
            <w:tcW w:w="3166" w:type="dxa"/>
            <w:vAlign w:val="top"/>
          </w:tcPr>
          <w:p>
            <w:pPr>
              <w:ind w:left="53"/>
              <w:spacing w:before="44" w:line="190" w:lineRule="auto"/>
              <w:rPr>
                <w:rFonts w:ascii="SimSun" w:hAnsi="SimSun" w:eastAsia="SimSun" w:cs="SimSun"/>
                <w:sz w:val="28"/>
                <w:szCs w:val="28"/>
              </w:rPr>
            </w:pPr>
            <w:r>
              <w:rPr>
                <w:rFonts w:ascii="SimSun" w:hAnsi="SimSun" w:eastAsia="SimSun" w:cs="SimSun"/>
                <w:sz w:val="28"/>
                <w:szCs w:val="28"/>
                <w:spacing w:val="12"/>
              </w:rPr>
              <w:t>16名</w:t>
            </w:r>
          </w:p>
        </w:tc>
        <w:tc>
          <w:tcPr>
            <w:tcW w:w="3202" w:type="dxa"/>
            <w:vAlign w:val="top"/>
          </w:tcPr>
          <w:p>
            <w:pPr>
              <w:ind w:left="97"/>
              <w:spacing w:before="43" w:line="191" w:lineRule="auto"/>
              <w:rPr>
                <w:rFonts w:ascii="SimSun" w:hAnsi="SimSun" w:eastAsia="SimSun" w:cs="SimSun"/>
                <w:sz w:val="28"/>
                <w:szCs w:val="28"/>
              </w:rPr>
            </w:pPr>
            <w:r>
              <w:rPr>
                <w:rFonts w:ascii="SimSun" w:hAnsi="SimSun" w:eastAsia="SimSun" w:cs="SimSun"/>
                <w:sz w:val="28"/>
                <w:szCs w:val="28"/>
                <w:spacing w:val="4"/>
              </w:rPr>
              <w:t>20人</w:t>
            </w:r>
          </w:p>
        </w:tc>
      </w:tr>
    </w:tbl>
    <w:p>
      <w:pPr>
        <w:pStyle w:val="BodyText"/>
        <w:ind w:left="74" w:firstLine="554"/>
        <w:spacing w:before="36" w:line="288" w:lineRule="auto"/>
        <w:rPr/>
      </w:pPr>
      <w:r>
        <w:rPr>
          <w:sz w:val="27"/>
          <w:szCs w:val="27"/>
          <w:spacing w:val="1"/>
        </w:rPr>
        <w:t>“研究生支教团推免专项计划”的名额，面向全校招生，具体工作由学校团</w:t>
      </w:r>
      <w:r>
        <w:rPr>
          <w:sz w:val="27"/>
          <w:szCs w:val="27"/>
          <w:spacing w:val="15"/>
        </w:rPr>
        <w:t xml:space="preserve"> </w:t>
      </w:r>
      <w:r>
        <w:rPr>
          <w:spacing w:val="-13"/>
        </w:rPr>
        <w:t>委研究制定方案并组织实施。</w:t>
      </w:r>
    </w:p>
    <w:p>
      <w:pPr>
        <w:pStyle w:val="BodyText"/>
        <w:ind w:left="608"/>
        <w:spacing w:before="157" w:line="219" w:lineRule="auto"/>
        <w:outlineLvl w:val="2"/>
        <w:rPr/>
      </w:pPr>
      <w:r>
        <w:rPr>
          <w:b/>
          <w:bCs/>
          <w:spacing w:val="-13"/>
        </w:rPr>
        <w:t>二、推荐原则</w:t>
      </w:r>
    </w:p>
    <w:p>
      <w:pPr>
        <w:pStyle w:val="BodyText"/>
        <w:ind w:left="74" w:right="133" w:firstLine="529"/>
        <w:spacing w:before="33" w:line="278" w:lineRule="auto"/>
        <w:jc w:val="both"/>
        <w:rPr/>
      </w:pPr>
      <w:r>
        <w:rPr>
          <w:spacing w:val="-12"/>
        </w:rPr>
        <w:t>推免工作坚持科学遴选，落实立德树人根本任务，突出考察学</w:t>
      </w:r>
      <w:r>
        <w:rPr>
          <w:spacing w:val="-13"/>
        </w:rPr>
        <w:t>生的一贯学业</w:t>
      </w:r>
      <w:r>
        <w:rPr/>
        <w:t xml:space="preserve"> </w:t>
      </w:r>
      <w:r>
        <w:rPr>
          <w:spacing w:val="-12"/>
        </w:rPr>
        <w:t>表现，引导学生全面发展，坚持严格管理，坚持公开、公平、公正和保证质量的</w:t>
      </w:r>
      <w:r>
        <w:rPr/>
        <w:t xml:space="preserve"> </w:t>
      </w:r>
      <w:r>
        <w:rPr>
          <w:spacing w:val="-15"/>
        </w:rPr>
        <w:t>原则，被推荐的学生应符合下列条件：</w:t>
      </w:r>
    </w:p>
    <w:p>
      <w:pPr>
        <w:pStyle w:val="BodyText"/>
        <w:ind w:left="604"/>
        <w:spacing w:before="4" w:line="219" w:lineRule="auto"/>
        <w:rPr/>
      </w:pPr>
      <w:r>
        <w:rPr>
          <w:rFonts w:ascii="Times New Roman" w:hAnsi="Times New Roman" w:eastAsia="Times New Roman" w:cs="Times New Roman"/>
          <w:spacing w:val="-5"/>
        </w:rPr>
        <w:t>1.</w:t>
      </w:r>
      <w:r>
        <w:rPr>
          <w:rFonts w:ascii="Times New Roman" w:hAnsi="Times New Roman" w:eastAsia="Times New Roman" w:cs="Times New Roman"/>
          <w:spacing w:val="26"/>
          <w:w w:val="101"/>
        </w:rPr>
        <w:t xml:space="preserve">  </w:t>
      </w:r>
      <w:r>
        <w:rPr>
          <w:spacing w:val="-5"/>
        </w:rPr>
        <w:t>上海大学2026年应届本科毕业生。</w:t>
      </w:r>
    </w:p>
    <w:p>
      <w:pPr>
        <w:pStyle w:val="BodyText"/>
        <w:ind w:left="74" w:right="142" w:firstLine="529"/>
        <w:spacing w:before="130" w:line="254" w:lineRule="auto"/>
        <w:rPr/>
      </w:pPr>
      <w:r>
        <w:rPr>
          <w:rFonts w:ascii="Times New Roman" w:hAnsi="Times New Roman" w:eastAsia="Times New Roman" w:cs="Times New Roman"/>
          <w:spacing w:val="-7"/>
        </w:rPr>
        <w:t>2.</w:t>
      </w:r>
      <w:r>
        <w:rPr>
          <w:rFonts w:ascii="Times New Roman" w:hAnsi="Times New Roman" w:eastAsia="Times New Roman" w:cs="Times New Roman"/>
          <w:spacing w:val="20"/>
          <w:w w:val="101"/>
        </w:rPr>
        <w:t xml:space="preserve">  </w:t>
      </w:r>
      <w:r>
        <w:rPr>
          <w:spacing w:val="-7"/>
        </w:rPr>
        <w:t>拥护党的领导，具有高尚爱国主义情操和集体主义精神，社会主义信念</w:t>
      </w:r>
      <w:r>
        <w:rPr/>
        <w:t xml:space="preserve"> </w:t>
      </w:r>
      <w:r>
        <w:rPr>
          <w:spacing w:val="-13"/>
        </w:rPr>
        <w:t>坚定，社会责任感强，遵纪守法，积极向上。</w:t>
      </w:r>
    </w:p>
    <w:p>
      <w:pPr>
        <w:pStyle w:val="BodyText"/>
        <w:ind w:left="74" w:right="141" w:firstLine="529"/>
        <w:spacing w:before="98" w:line="255" w:lineRule="auto"/>
        <w:rPr/>
      </w:pPr>
      <w:r>
        <w:rPr>
          <w:rFonts w:ascii="Times New Roman" w:hAnsi="Times New Roman" w:eastAsia="Times New Roman" w:cs="Times New Roman"/>
          <w:spacing w:val="-7"/>
        </w:rPr>
        <w:t>3.</w:t>
      </w:r>
      <w:r>
        <w:rPr>
          <w:rFonts w:ascii="Times New Roman" w:hAnsi="Times New Roman" w:eastAsia="Times New Roman" w:cs="Times New Roman"/>
          <w:spacing w:val="25"/>
          <w:w w:val="101"/>
        </w:rPr>
        <w:t xml:space="preserve">  </w:t>
      </w:r>
      <w:r>
        <w:rPr>
          <w:spacing w:val="-7"/>
        </w:rPr>
        <w:t>品行表现优良，诚实守信，学风端正，无任何考试</w:t>
      </w:r>
      <w:r>
        <w:rPr>
          <w:spacing w:val="-8"/>
        </w:rPr>
        <w:t>作弊和剽窃他人学术</w:t>
      </w:r>
      <w:r>
        <w:rPr/>
        <w:t xml:space="preserve"> </w:t>
      </w:r>
      <w:r>
        <w:rPr>
          <w:spacing w:val="-12"/>
        </w:rPr>
        <w:t>成果记录，无任何受处分记录等。</w:t>
      </w:r>
    </w:p>
    <w:p>
      <w:pPr>
        <w:pStyle w:val="BodyText"/>
        <w:ind w:left="74" w:right="143" w:firstLine="529"/>
        <w:spacing w:before="98" w:line="255" w:lineRule="auto"/>
        <w:rPr/>
      </w:pPr>
      <w:r>
        <w:rPr>
          <w:rFonts w:ascii="Times New Roman" w:hAnsi="Times New Roman" w:eastAsia="Times New Roman" w:cs="Times New Roman"/>
          <w:spacing w:val="-7"/>
        </w:rPr>
        <w:t>4.</w:t>
      </w:r>
      <w:r>
        <w:rPr>
          <w:rFonts w:ascii="Times New Roman" w:hAnsi="Times New Roman" w:eastAsia="Times New Roman" w:cs="Times New Roman"/>
          <w:spacing w:val="20"/>
        </w:rPr>
        <w:t xml:space="preserve">  </w:t>
      </w:r>
      <w:r>
        <w:rPr>
          <w:spacing w:val="-7"/>
        </w:rPr>
        <w:t>学习能力：成绩优良，学业成绩使用学生在相关课程获得的首次成绩，</w:t>
      </w:r>
      <w:r>
        <w:rPr/>
        <w:t xml:space="preserve"> </w:t>
      </w:r>
      <w:r>
        <w:rPr>
          <w:spacing w:val="-4"/>
        </w:rPr>
        <w:t>截止2024-2025学年夏季学期结束，学业成绩的平均绩点不低于3.00,且无重修</w:t>
      </w:r>
    </w:p>
    <w:p>
      <w:pPr>
        <w:spacing w:line="255" w:lineRule="auto"/>
        <w:sectPr>
          <w:pgSz w:w="11920" w:h="16840"/>
          <w:pgMar w:top="1431" w:right="1175" w:bottom="0" w:left="1155" w:header="0" w:footer="0" w:gutter="0"/>
        </w:sectPr>
        <w:rPr/>
      </w:pPr>
    </w:p>
    <w:p>
      <w:pPr>
        <w:spacing w:line="307" w:lineRule="auto"/>
        <w:rPr>
          <w:rFonts w:ascii="Arial"/>
          <w:sz w:val="21"/>
        </w:rPr>
      </w:pPr>
      <w:r/>
    </w:p>
    <w:p>
      <w:pPr>
        <w:pStyle w:val="BodyText"/>
        <w:ind w:left="19"/>
        <w:spacing w:before="91" w:line="219" w:lineRule="auto"/>
        <w:rPr/>
      </w:pPr>
      <w:r>
        <w:rPr>
          <w:spacing w:val="-16"/>
        </w:rPr>
        <w:t>后不及格的必修课。</w:t>
      </w:r>
    </w:p>
    <w:p>
      <w:pPr>
        <w:pStyle w:val="BodyText"/>
        <w:ind w:left="529"/>
        <w:spacing w:before="147" w:line="219" w:lineRule="auto"/>
        <w:rPr/>
      </w:pPr>
      <w:r>
        <w:rPr>
          <w:rFonts w:ascii="Times New Roman" w:hAnsi="Times New Roman" w:eastAsia="Times New Roman" w:cs="Times New Roman"/>
          <w:spacing w:val="-11"/>
        </w:rPr>
        <w:t>5.</w:t>
      </w:r>
      <w:r>
        <w:rPr>
          <w:rFonts w:ascii="Times New Roman" w:hAnsi="Times New Roman" w:eastAsia="Times New Roman" w:cs="Times New Roman"/>
          <w:spacing w:val="21"/>
          <w:w w:val="101"/>
        </w:rPr>
        <w:t xml:space="preserve">  </w:t>
      </w:r>
      <w:r>
        <w:rPr>
          <w:spacing w:val="-11"/>
        </w:rPr>
        <w:t>具有较强的创新意识、创新能力和专业能力。</w:t>
      </w:r>
    </w:p>
    <w:p>
      <w:pPr>
        <w:pStyle w:val="BodyText"/>
        <w:ind w:left="529"/>
        <w:spacing w:before="117" w:line="219" w:lineRule="auto"/>
        <w:rPr/>
      </w:pPr>
      <w:r>
        <w:rPr>
          <w:rFonts w:ascii="Times New Roman" w:hAnsi="Times New Roman" w:eastAsia="Times New Roman" w:cs="Times New Roman"/>
          <w:spacing w:val="-11"/>
        </w:rPr>
        <w:t>6.   </w:t>
      </w:r>
      <w:r>
        <w:rPr>
          <w:spacing w:val="-11"/>
        </w:rPr>
        <w:t>身体健康，符合规定的体检标准，并通过国家规定的体锻要求。</w:t>
      </w:r>
    </w:p>
    <w:p>
      <w:pPr>
        <w:pStyle w:val="BodyText"/>
        <w:ind w:left="529"/>
        <w:spacing w:before="224" w:line="220" w:lineRule="auto"/>
        <w:rPr/>
      </w:pPr>
      <w:r>
        <w:rPr>
          <w:spacing w:val="-11"/>
        </w:rPr>
        <w:t>三、</w:t>
      </w:r>
      <w:r>
        <w:rPr>
          <w:b/>
          <w:bCs/>
          <w:spacing w:val="-11"/>
        </w:rPr>
        <w:t>推免遴选指标的设定</w:t>
      </w:r>
    </w:p>
    <w:p>
      <w:pPr>
        <w:pStyle w:val="BodyText"/>
        <w:ind w:left="529"/>
        <w:spacing w:before="30" w:line="220" w:lineRule="auto"/>
        <w:rPr/>
      </w:pPr>
      <w:r>
        <w:rPr>
          <w:rFonts w:ascii="Times New Roman" w:hAnsi="Times New Roman" w:eastAsia="Times New Roman" w:cs="Times New Roman"/>
          <w:spacing w:val="-13"/>
        </w:rPr>
        <w:t>1</w:t>
      </w:r>
      <w:r>
        <w:rPr>
          <w:spacing w:val="-13"/>
        </w:rPr>
        <w:t>、遴选指标包括学生学业综合成绩和体现学生全面发展的相关项目指标。</w:t>
      </w:r>
    </w:p>
    <w:p>
      <w:pPr>
        <w:pStyle w:val="BodyText"/>
        <w:ind w:right="140" w:firstLine="709"/>
        <w:spacing w:before="102" w:line="252" w:lineRule="auto"/>
        <w:rPr/>
      </w:pPr>
      <w:r>
        <w:rPr>
          <w:spacing w:val="-4"/>
        </w:rPr>
        <w:t>(1)</w:t>
      </w:r>
      <w:r>
        <w:rPr>
          <w:spacing w:val="-36"/>
        </w:rPr>
        <w:t xml:space="preserve"> </w:t>
      </w:r>
      <w:r>
        <w:rPr>
          <w:b/>
          <w:bCs/>
          <w:spacing w:val="-4"/>
        </w:rPr>
        <w:t>学生学业综合成绩</w:t>
      </w:r>
      <w:r>
        <w:rPr>
          <w:spacing w:val="-4"/>
        </w:rPr>
        <w:t>指截至2024-2</w:t>
      </w:r>
      <w:r>
        <w:rPr>
          <w:spacing w:val="-5"/>
        </w:rPr>
        <w:t>025学年夏季学期结束，学生所修读</w:t>
      </w:r>
      <w:r>
        <w:rPr/>
        <w:t xml:space="preserve"> </w:t>
      </w:r>
      <w:r>
        <w:rPr>
          <w:spacing w:val="-13"/>
        </w:rPr>
        <w:t>的所有本科课程首次获得的平均成绩绩点。</w:t>
      </w:r>
    </w:p>
    <w:p>
      <w:pPr>
        <w:pStyle w:val="BodyText"/>
        <w:ind w:left="719"/>
        <w:spacing w:before="97" w:line="219" w:lineRule="auto"/>
        <w:rPr/>
      </w:pPr>
      <w:r>
        <w:rPr>
          <w:spacing w:val="-14"/>
        </w:rPr>
        <w:t>(2) </w:t>
      </w:r>
      <w:r>
        <w:rPr>
          <w:b/>
          <w:bCs/>
          <w:spacing w:val="-14"/>
        </w:rPr>
        <w:t>全面发展的相关项目</w:t>
      </w:r>
      <w:r>
        <w:rPr>
          <w:spacing w:val="-14"/>
        </w:rPr>
        <w:t>包括以下六个类</w:t>
      </w:r>
      <w:r>
        <w:rPr>
          <w:spacing w:val="-15"/>
        </w:rPr>
        <w:t>别的证明或成果：</w:t>
      </w:r>
    </w:p>
    <w:p>
      <w:pPr>
        <w:pStyle w:val="BodyText"/>
        <w:ind w:left="819"/>
        <w:spacing w:before="101" w:line="219" w:lineRule="auto"/>
        <w:rPr/>
      </w:pPr>
      <w:r>
        <w:rPr>
          <w:spacing w:val="2"/>
        </w:rPr>
        <w:t>●第一类：入伍服兵役</w:t>
      </w:r>
    </w:p>
    <w:p>
      <w:pPr>
        <w:pStyle w:val="BodyText"/>
        <w:ind w:left="819"/>
        <w:spacing w:before="107" w:line="219" w:lineRule="auto"/>
        <w:rPr/>
      </w:pPr>
      <w:r>
        <w:rPr>
          <w:spacing w:val="1"/>
        </w:rPr>
        <w:t>●第二类：志愿服务</w:t>
      </w:r>
    </w:p>
    <w:p>
      <w:pPr>
        <w:pStyle w:val="BodyText"/>
        <w:ind w:left="819"/>
        <w:spacing w:before="108" w:line="219" w:lineRule="auto"/>
        <w:rPr/>
      </w:pPr>
      <w:r>
        <w:rPr>
          <w:spacing w:val="2"/>
        </w:rPr>
        <w:t>●第三类：国际组织实习</w:t>
      </w:r>
    </w:p>
    <w:p>
      <w:pPr>
        <w:pStyle w:val="BodyText"/>
        <w:ind w:left="819"/>
        <w:spacing w:before="116" w:line="219" w:lineRule="auto"/>
        <w:rPr>
          <w:sz w:val="27"/>
          <w:szCs w:val="27"/>
        </w:rPr>
      </w:pPr>
      <w:r>
        <w:rPr>
          <w:sz w:val="27"/>
          <w:szCs w:val="27"/>
          <w:spacing w:val="11"/>
        </w:rPr>
        <w:t>●第四类：科研成果</w:t>
      </w:r>
    </w:p>
    <w:p>
      <w:pPr>
        <w:pStyle w:val="BodyText"/>
        <w:ind w:left="819"/>
        <w:spacing w:before="122" w:line="219" w:lineRule="auto"/>
        <w:rPr>
          <w:sz w:val="27"/>
          <w:szCs w:val="27"/>
        </w:rPr>
      </w:pPr>
      <w:r>
        <w:rPr>
          <w:sz w:val="27"/>
          <w:szCs w:val="27"/>
          <w:spacing w:val="15"/>
        </w:rPr>
        <w:t>●第五类：竞赛成果</w:t>
      </w:r>
    </w:p>
    <w:p>
      <w:pPr>
        <w:pStyle w:val="BodyText"/>
        <w:ind w:left="819"/>
        <w:spacing w:before="119" w:line="219" w:lineRule="auto"/>
        <w:rPr>
          <w:sz w:val="26"/>
          <w:szCs w:val="26"/>
        </w:rPr>
      </w:pPr>
      <w:r>
        <w:rPr>
          <w:sz w:val="26"/>
          <w:szCs w:val="26"/>
          <w:spacing w:val="20"/>
        </w:rPr>
        <w:t>●第六类：体育竞赛成果</w:t>
      </w:r>
    </w:p>
    <w:p>
      <w:pPr>
        <w:pStyle w:val="BodyText"/>
        <w:ind w:left="529"/>
        <w:spacing w:before="122" w:line="219" w:lineRule="auto"/>
        <w:rPr/>
      </w:pPr>
      <w:r>
        <w:rPr>
          <w:spacing w:val="-10"/>
        </w:rPr>
        <w:t>2、遴选指标的权重设定</w:t>
      </w:r>
    </w:p>
    <w:p>
      <w:pPr>
        <w:spacing w:line="81" w:lineRule="exact"/>
        <w:rPr/>
      </w:pPr>
      <w:r/>
    </w:p>
    <w:tbl>
      <w:tblPr>
        <w:tblStyle w:val="TableNormal"/>
        <w:tblW w:w="8610" w:type="dxa"/>
        <w:tblInd w:w="87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53"/>
        <w:gridCol w:w="809"/>
        <w:gridCol w:w="6148"/>
      </w:tblGrid>
      <w:tr>
        <w:trPr>
          <w:trHeight w:val="384" w:hRule="atLeast"/>
        </w:trPr>
        <w:tc>
          <w:tcPr>
            <w:tcW w:w="1653" w:type="dxa"/>
            <w:vAlign w:val="top"/>
          </w:tcPr>
          <w:p>
            <w:pPr>
              <w:rPr>
                <w:rFonts w:ascii="Arial"/>
                <w:sz w:val="21"/>
              </w:rPr>
            </w:pPr>
            <w:r/>
          </w:p>
        </w:tc>
        <w:tc>
          <w:tcPr>
            <w:tcW w:w="809" w:type="dxa"/>
            <w:vAlign w:val="top"/>
          </w:tcPr>
          <w:p>
            <w:pPr>
              <w:pStyle w:val="TableText"/>
              <w:ind w:left="95"/>
              <w:spacing w:before="71" w:line="219" w:lineRule="auto"/>
              <w:rPr/>
            </w:pPr>
            <w:r>
              <w:rPr>
                <w:b/>
                <w:bCs/>
                <w:spacing w:val="-5"/>
              </w:rPr>
              <w:t>权重</w:t>
            </w:r>
          </w:p>
        </w:tc>
        <w:tc>
          <w:tcPr>
            <w:tcW w:w="6148" w:type="dxa"/>
            <w:vAlign w:val="top"/>
          </w:tcPr>
          <w:p>
            <w:pPr>
              <w:pStyle w:val="TableText"/>
              <w:ind w:left="96"/>
              <w:spacing w:before="71" w:line="219" w:lineRule="auto"/>
              <w:rPr/>
            </w:pPr>
            <w:r>
              <w:rPr>
                <w:b/>
                <w:bCs/>
                <w:spacing w:val="-5"/>
              </w:rPr>
              <w:t>计算方法</w:t>
            </w:r>
          </w:p>
        </w:tc>
      </w:tr>
      <w:tr>
        <w:trPr>
          <w:trHeight w:val="359" w:hRule="atLeast"/>
        </w:trPr>
        <w:tc>
          <w:tcPr>
            <w:tcW w:w="1653" w:type="dxa"/>
            <w:vAlign w:val="top"/>
          </w:tcPr>
          <w:p>
            <w:pPr>
              <w:pStyle w:val="TableText"/>
              <w:ind w:left="95"/>
              <w:spacing w:before="61" w:line="220" w:lineRule="auto"/>
              <w:rPr/>
            </w:pPr>
            <w:r>
              <w:rPr>
                <w:spacing w:val="1"/>
              </w:rPr>
              <w:t>学业综合成绩</w:t>
            </w:r>
          </w:p>
        </w:tc>
        <w:tc>
          <w:tcPr>
            <w:tcW w:w="809" w:type="dxa"/>
            <w:vAlign w:val="top"/>
          </w:tcPr>
          <w:p>
            <w:pPr>
              <w:pStyle w:val="TableText"/>
              <w:ind w:left="91"/>
              <w:spacing w:before="85" w:line="203" w:lineRule="auto"/>
              <w:rPr/>
            </w:pPr>
            <w:r>
              <w:rPr>
                <w:spacing w:val="-4"/>
              </w:rPr>
              <w:t>75%</w:t>
            </w:r>
          </w:p>
        </w:tc>
        <w:tc>
          <w:tcPr>
            <w:tcW w:w="6148" w:type="dxa"/>
            <w:vAlign w:val="top"/>
          </w:tcPr>
          <w:p>
            <w:pPr>
              <w:pStyle w:val="TableText"/>
              <w:ind w:left="103"/>
              <w:spacing w:before="60" w:line="219" w:lineRule="auto"/>
              <w:rPr/>
            </w:pPr>
            <w:r>
              <w:rPr>
                <w:spacing w:val="-1"/>
              </w:rPr>
              <w:t>将平均绩点折算为百分制后乘以75%</w:t>
            </w:r>
          </w:p>
        </w:tc>
      </w:tr>
      <w:tr>
        <w:trPr>
          <w:trHeight w:val="1498" w:hRule="atLeast"/>
        </w:trPr>
        <w:tc>
          <w:tcPr>
            <w:tcW w:w="1653"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84" w:right="96" w:firstLine="10"/>
              <w:spacing w:before="78" w:line="279" w:lineRule="auto"/>
              <w:rPr/>
            </w:pPr>
            <w:r>
              <w:rPr>
                <w:spacing w:val="1"/>
              </w:rPr>
              <w:t>全面发展相关</w:t>
            </w:r>
            <w:r>
              <w:rPr>
                <w:spacing w:val="4"/>
              </w:rPr>
              <w:t xml:space="preserve"> </w:t>
            </w:r>
            <w:r>
              <w:rPr>
                <w:spacing w:val="-7"/>
              </w:rPr>
              <w:t>项 目</w:t>
            </w:r>
          </w:p>
        </w:tc>
        <w:tc>
          <w:tcPr>
            <w:tcW w:w="809"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91"/>
              <w:spacing w:before="78"/>
              <w:rPr/>
            </w:pPr>
            <w:r>
              <w:rPr>
                <w:spacing w:val="-3"/>
              </w:rPr>
              <w:t>25%</w:t>
            </w:r>
          </w:p>
        </w:tc>
        <w:tc>
          <w:tcPr>
            <w:tcW w:w="6148" w:type="dxa"/>
            <w:vAlign w:val="top"/>
          </w:tcPr>
          <w:p>
            <w:pPr>
              <w:pStyle w:val="TableText"/>
              <w:ind w:left="13" w:firstLine="49"/>
              <w:spacing w:before="26" w:line="281" w:lineRule="auto"/>
              <w:jc w:val="both"/>
              <w:rPr/>
            </w:pPr>
            <w:r>
              <w:rPr>
                <w:spacing w:val="-1"/>
              </w:rPr>
              <w:t>入伍服兵役：占全面发展项目打分的30%,具体计分按照上</w:t>
            </w:r>
            <w:r>
              <w:rPr>
                <w:spacing w:val="12"/>
              </w:rPr>
              <w:t xml:space="preserve"> </w:t>
            </w:r>
            <w:r>
              <w:rPr>
                <w:spacing w:val="1"/>
              </w:rPr>
              <w:t>海大学武装部发布的《关于2026年推荐应届优秀本科毕业</w:t>
            </w:r>
            <w:r>
              <w:rPr>
                <w:spacing w:val="8"/>
              </w:rPr>
              <w:t xml:space="preserve"> </w:t>
            </w:r>
            <w:r>
              <w:rPr>
                <w:spacing w:val="-5"/>
              </w:rPr>
              <w:t>生免试攻读研究生“入伍服兵役”相关条款的说明》进行计</w:t>
            </w:r>
            <w:r>
              <w:rPr>
                <w:spacing w:val="13"/>
              </w:rPr>
              <w:t xml:space="preserve"> </w:t>
            </w:r>
            <w:r>
              <w:rPr>
                <w:spacing w:val="29"/>
              </w:rPr>
              <w:t>算。</w:t>
            </w:r>
          </w:p>
        </w:tc>
      </w:tr>
      <w:tr>
        <w:trPr>
          <w:trHeight w:val="1108" w:hRule="atLeast"/>
        </w:trPr>
        <w:tc>
          <w:tcPr>
            <w:tcW w:w="1653" w:type="dxa"/>
            <w:vAlign w:val="top"/>
            <w:vMerge w:val="continue"/>
            <w:tcBorders>
              <w:top w:val="nil"/>
              <w:bottom w:val="nil"/>
            </w:tcBorders>
          </w:tcPr>
          <w:p>
            <w:pPr>
              <w:rPr>
                <w:rFonts w:ascii="Arial"/>
                <w:sz w:val="21"/>
              </w:rPr>
            </w:pPr>
            <w:r/>
          </w:p>
        </w:tc>
        <w:tc>
          <w:tcPr>
            <w:tcW w:w="809" w:type="dxa"/>
            <w:vAlign w:val="top"/>
            <w:vMerge w:val="continue"/>
            <w:tcBorders>
              <w:top w:val="nil"/>
              <w:bottom w:val="nil"/>
            </w:tcBorders>
          </w:tcPr>
          <w:p>
            <w:pPr>
              <w:rPr>
                <w:rFonts w:ascii="Arial"/>
                <w:sz w:val="21"/>
              </w:rPr>
            </w:pPr>
            <w:r/>
          </w:p>
        </w:tc>
        <w:tc>
          <w:tcPr>
            <w:tcW w:w="6148" w:type="dxa"/>
            <w:vAlign w:val="top"/>
          </w:tcPr>
          <w:p>
            <w:pPr>
              <w:pStyle w:val="TableText"/>
              <w:ind w:left="63" w:right="53"/>
              <w:spacing w:before="41" w:line="271" w:lineRule="auto"/>
              <w:jc w:val="both"/>
              <w:rPr/>
            </w:pPr>
            <w:r>
              <w:rPr>
                <w:spacing w:val="1"/>
              </w:rPr>
              <w:t>志愿服务：占全面发展项目打分的10%,具</w:t>
            </w:r>
            <w:r>
              <w:rPr/>
              <w:t>体计分按照校团 </w:t>
            </w:r>
            <w:r>
              <w:rPr>
                <w:spacing w:val="-1"/>
              </w:rPr>
              <w:t>委发布的《上海大学2026年推荐应届优秀本科毕业生免试</w:t>
            </w:r>
            <w:r>
              <w:rPr>
                <w:spacing w:val="17"/>
              </w:rPr>
              <w:t xml:space="preserve"> </w:t>
            </w:r>
            <w:r>
              <w:rPr>
                <w:spacing w:val="1"/>
              </w:rPr>
              <w:t>攻读研究生志愿服务项目认定指导意见》进行计算。</w:t>
            </w:r>
          </w:p>
        </w:tc>
      </w:tr>
      <w:tr>
        <w:trPr>
          <w:trHeight w:val="1118" w:hRule="atLeast"/>
        </w:trPr>
        <w:tc>
          <w:tcPr>
            <w:tcW w:w="1653" w:type="dxa"/>
            <w:vAlign w:val="top"/>
            <w:vMerge w:val="continue"/>
            <w:tcBorders>
              <w:top w:val="nil"/>
              <w:bottom w:val="nil"/>
            </w:tcBorders>
          </w:tcPr>
          <w:p>
            <w:pPr>
              <w:rPr>
                <w:rFonts w:ascii="Arial"/>
                <w:sz w:val="21"/>
              </w:rPr>
            </w:pPr>
            <w:r/>
          </w:p>
        </w:tc>
        <w:tc>
          <w:tcPr>
            <w:tcW w:w="809" w:type="dxa"/>
            <w:vAlign w:val="top"/>
            <w:vMerge w:val="continue"/>
            <w:tcBorders>
              <w:top w:val="nil"/>
              <w:bottom w:val="nil"/>
            </w:tcBorders>
          </w:tcPr>
          <w:p>
            <w:pPr>
              <w:rPr>
                <w:rFonts w:ascii="Arial"/>
                <w:sz w:val="21"/>
              </w:rPr>
            </w:pPr>
            <w:r/>
          </w:p>
        </w:tc>
        <w:tc>
          <w:tcPr>
            <w:tcW w:w="6148" w:type="dxa"/>
            <w:vAlign w:val="top"/>
          </w:tcPr>
          <w:p>
            <w:pPr>
              <w:pStyle w:val="TableText"/>
              <w:ind w:left="13" w:firstLine="109"/>
              <w:spacing w:before="43" w:line="273" w:lineRule="auto"/>
              <w:rPr/>
            </w:pPr>
            <w:r>
              <w:rPr/>
              <w:t>国际组织实习：占全面发展项目打分的5%,具体计分按照</w:t>
            </w:r>
            <w:r>
              <w:rPr>
                <w:spacing w:val="4"/>
              </w:rPr>
              <w:t xml:space="preserve">  </w:t>
            </w:r>
            <w:r>
              <w:rPr>
                <w:spacing w:val="-5"/>
              </w:rPr>
              <w:t>校国际部《上海大学本科生赴国际组织实习认定工作实施细</w:t>
            </w:r>
            <w:r>
              <w:rPr>
                <w:spacing w:val="13"/>
              </w:rPr>
              <w:t xml:space="preserve"> </w:t>
            </w:r>
            <w:r>
              <w:rPr>
                <w:spacing w:val="12"/>
              </w:rPr>
              <w:t>则》进行计算。</w:t>
            </w:r>
          </w:p>
        </w:tc>
      </w:tr>
      <w:tr>
        <w:trPr>
          <w:trHeight w:val="1508" w:hRule="atLeast"/>
        </w:trPr>
        <w:tc>
          <w:tcPr>
            <w:tcW w:w="1653" w:type="dxa"/>
            <w:vAlign w:val="top"/>
            <w:vMerge w:val="continue"/>
            <w:tcBorders>
              <w:top w:val="nil"/>
              <w:bottom w:val="nil"/>
            </w:tcBorders>
          </w:tcPr>
          <w:p>
            <w:pPr>
              <w:rPr>
                <w:rFonts w:ascii="Arial"/>
                <w:sz w:val="21"/>
              </w:rPr>
            </w:pPr>
            <w:r/>
          </w:p>
        </w:tc>
        <w:tc>
          <w:tcPr>
            <w:tcW w:w="809" w:type="dxa"/>
            <w:vAlign w:val="top"/>
            <w:vMerge w:val="continue"/>
            <w:tcBorders>
              <w:top w:val="nil"/>
              <w:bottom w:val="nil"/>
            </w:tcBorders>
          </w:tcPr>
          <w:p>
            <w:pPr>
              <w:rPr>
                <w:rFonts w:ascii="Arial"/>
                <w:sz w:val="21"/>
              </w:rPr>
            </w:pPr>
            <w:r/>
          </w:p>
        </w:tc>
        <w:tc>
          <w:tcPr>
            <w:tcW w:w="6148" w:type="dxa"/>
            <w:vAlign w:val="top"/>
          </w:tcPr>
          <w:p>
            <w:pPr>
              <w:pStyle w:val="TableText"/>
              <w:ind w:left="13" w:firstLine="49"/>
              <w:spacing w:before="26" w:line="283" w:lineRule="auto"/>
              <w:jc w:val="both"/>
              <w:rPr/>
            </w:pPr>
            <w:r>
              <w:rPr/>
              <w:t>科研成果：占全面发展项目打分的30%,由中欧学院材料审</w:t>
            </w:r>
            <w:r>
              <w:rPr>
                <w:spacing w:val="14"/>
              </w:rPr>
              <w:t xml:space="preserve"> </w:t>
            </w:r>
            <w:r>
              <w:rPr>
                <w:spacing w:val="2"/>
              </w:rPr>
              <w:t>核专家小组在上海大学教务部发布的《关于2026年推荐应</w:t>
            </w:r>
            <w:r>
              <w:rPr/>
              <w:t xml:space="preserve"> </w:t>
            </w:r>
            <w:r>
              <w:rPr>
                <w:spacing w:val="-5"/>
              </w:rPr>
              <w:t>届优秀本科毕业生免试攻读研究生“科研创新成果、参赛获</w:t>
            </w:r>
            <w:r>
              <w:rPr>
                <w:spacing w:val="13"/>
              </w:rPr>
              <w:t xml:space="preserve"> </w:t>
            </w:r>
            <w:r>
              <w:rPr>
                <w:spacing w:val="4"/>
              </w:rPr>
              <w:t>奖”指标的说明》的意见指导下进行鉴定打分。</w:t>
            </w:r>
          </w:p>
        </w:tc>
      </w:tr>
      <w:tr>
        <w:trPr>
          <w:trHeight w:val="364" w:hRule="atLeast"/>
        </w:trPr>
        <w:tc>
          <w:tcPr>
            <w:tcW w:w="1653" w:type="dxa"/>
            <w:vAlign w:val="top"/>
            <w:vMerge w:val="continue"/>
            <w:tcBorders>
              <w:top w:val="nil"/>
            </w:tcBorders>
          </w:tcPr>
          <w:p>
            <w:pPr>
              <w:rPr>
                <w:rFonts w:ascii="Arial"/>
                <w:sz w:val="21"/>
              </w:rPr>
            </w:pPr>
            <w:r/>
          </w:p>
        </w:tc>
        <w:tc>
          <w:tcPr>
            <w:tcW w:w="809" w:type="dxa"/>
            <w:vAlign w:val="top"/>
            <w:vMerge w:val="continue"/>
            <w:tcBorders>
              <w:top w:val="nil"/>
            </w:tcBorders>
          </w:tcPr>
          <w:p>
            <w:pPr>
              <w:rPr>
                <w:rFonts w:ascii="Arial"/>
                <w:sz w:val="21"/>
              </w:rPr>
            </w:pPr>
            <w:r/>
          </w:p>
        </w:tc>
        <w:tc>
          <w:tcPr>
            <w:tcW w:w="6148" w:type="dxa"/>
            <w:vAlign w:val="top"/>
          </w:tcPr>
          <w:p>
            <w:pPr>
              <w:pStyle w:val="TableText"/>
              <w:ind w:left="63"/>
              <w:spacing w:before="66" w:line="216" w:lineRule="auto"/>
              <w:rPr/>
            </w:pPr>
            <w:r>
              <w:rPr>
                <w:spacing w:val="1"/>
              </w:rPr>
              <w:t>竞赛成果：占全面发展项目打分的20%,</w:t>
            </w:r>
            <w:r>
              <w:rPr/>
              <w:t>由中欧学院材料审</w:t>
            </w:r>
          </w:p>
        </w:tc>
      </w:tr>
    </w:tbl>
    <w:p>
      <w:pPr>
        <w:rPr>
          <w:rFonts w:ascii="Arial"/>
          <w:sz w:val="21"/>
        </w:rPr>
      </w:pPr>
      <w:r/>
    </w:p>
    <w:p>
      <w:pPr>
        <w:sectPr>
          <w:pgSz w:w="11920" w:h="16840"/>
          <w:pgMar w:top="1431" w:right="1184" w:bottom="0" w:left="1240" w:header="0" w:footer="0" w:gutter="0"/>
        </w:sectPr>
        <w:rPr>
          <w:rFonts w:ascii="Arial" w:hAnsi="Arial" w:eastAsia="Arial" w:cs="Arial"/>
          <w:sz w:val="21"/>
          <w:szCs w:val="21"/>
        </w:rPr>
      </w:pPr>
    </w:p>
    <w:p>
      <w:pPr>
        <w:spacing w:before="152"/>
        <w:rPr/>
      </w:pPr>
      <w:r/>
    </w:p>
    <w:tbl>
      <w:tblPr>
        <w:tblStyle w:val="TableNormal"/>
        <w:tblW w:w="8609" w:type="dxa"/>
        <w:tblInd w:w="8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63"/>
        <w:gridCol w:w="799"/>
        <w:gridCol w:w="6147"/>
      </w:tblGrid>
      <w:tr>
        <w:trPr>
          <w:trHeight w:val="383" w:hRule="atLeast"/>
        </w:trPr>
        <w:tc>
          <w:tcPr>
            <w:tcW w:w="1663" w:type="dxa"/>
            <w:vAlign w:val="top"/>
          </w:tcPr>
          <w:p>
            <w:pPr>
              <w:rPr>
                <w:rFonts w:ascii="Arial"/>
                <w:sz w:val="21"/>
              </w:rPr>
            </w:pPr>
            <w:r/>
          </w:p>
        </w:tc>
        <w:tc>
          <w:tcPr>
            <w:tcW w:w="799" w:type="dxa"/>
            <w:vAlign w:val="top"/>
          </w:tcPr>
          <w:p>
            <w:pPr>
              <w:pStyle w:val="TableText"/>
              <w:ind w:left="85"/>
              <w:spacing w:before="71" w:line="219" w:lineRule="auto"/>
              <w:rPr/>
            </w:pPr>
            <w:r>
              <w:rPr>
                <w:b/>
                <w:bCs/>
                <w:spacing w:val="-5"/>
              </w:rPr>
              <w:t>权重</w:t>
            </w:r>
          </w:p>
        </w:tc>
        <w:tc>
          <w:tcPr>
            <w:tcW w:w="6147" w:type="dxa"/>
            <w:vAlign w:val="top"/>
          </w:tcPr>
          <w:p>
            <w:pPr>
              <w:pStyle w:val="TableText"/>
              <w:ind w:left="96"/>
              <w:spacing w:before="71" w:line="219" w:lineRule="auto"/>
              <w:rPr/>
            </w:pPr>
            <w:r>
              <w:rPr>
                <w:b/>
                <w:bCs/>
                <w:spacing w:val="-5"/>
              </w:rPr>
              <w:t>计算方法</w:t>
            </w:r>
          </w:p>
        </w:tc>
      </w:tr>
      <w:tr>
        <w:trPr>
          <w:trHeight w:val="1106" w:hRule="atLeast"/>
        </w:trPr>
        <w:tc>
          <w:tcPr>
            <w:tcW w:w="1663" w:type="dxa"/>
            <w:vAlign w:val="top"/>
            <w:vMerge w:val="restart"/>
            <w:tcBorders>
              <w:bottom w:val="nil"/>
            </w:tcBorders>
          </w:tcPr>
          <w:p>
            <w:pPr>
              <w:rPr>
                <w:rFonts w:ascii="Arial"/>
                <w:sz w:val="21"/>
              </w:rPr>
            </w:pPr>
            <w:r/>
          </w:p>
        </w:tc>
        <w:tc>
          <w:tcPr>
            <w:tcW w:w="799" w:type="dxa"/>
            <w:vAlign w:val="top"/>
            <w:vMerge w:val="restart"/>
            <w:tcBorders>
              <w:bottom w:val="nil"/>
            </w:tcBorders>
          </w:tcPr>
          <w:p>
            <w:pPr>
              <w:rPr>
                <w:rFonts w:ascii="Arial"/>
                <w:sz w:val="21"/>
              </w:rPr>
            </w:pPr>
            <w:r/>
          </w:p>
        </w:tc>
        <w:tc>
          <w:tcPr>
            <w:tcW w:w="6147" w:type="dxa"/>
            <w:vAlign w:val="top"/>
          </w:tcPr>
          <w:p>
            <w:pPr>
              <w:pStyle w:val="TableText"/>
              <w:ind w:left="12" w:firstLine="49"/>
              <w:spacing w:before="31" w:line="273" w:lineRule="auto"/>
              <w:jc w:val="both"/>
              <w:rPr/>
            </w:pPr>
            <w:r>
              <w:rPr/>
              <w:t>核专家小组在上海大学教务部发布的《关于2026年推荐应</w:t>
            </w:r>
            <w:r>
              <w:rPr>
                <w:spacing w:val="3"/>
              </w:rPr>
              <w:t xml:space="preserve"> </w:t>
            </w:r>
            <w:r>
              <w:rPr>
                <w:spacing w:val="-5"/>
              </w:rPr>
              <w:t>届优秀本科毕业生免试攻读研究生“科研创新成果、参赛获</w:t>
            </w:r>
            <w:r>
              <w:rPr>
                <w:spacing w:val="13"/>
              </w:rPr>
              <w:t xml:space="preserve"> </w:t>
            </w:r>
            <w:r>
              <w:rPr>
                <w:spacing w:val="4"/>
              </w:rPr>
              <w:t>奖”指标的说明》的意见指导下进行鉴定打分。</w:t>
            </w:r>
          </w:p>
        </w:tc>
      </w:tr>
      <w:tr>
        <w:trPr>
          <w:trHeight w:val="1130" w:hRule="atLeast"/>
        </w:trPr>
        <w:tc>
          <w:tcPr>
            <w:tcW w:w="1663" w:type="dxa"/>
            <w:vAlign w:val="top"/>
            <w:vMerge w:val="continue"/>
            <w:tcBorders>
              <w:top w:val="nil"/>
            </w:tcBorders>
          </w:tcPr>
          <w:p>
            <w:pPr>
              <w:rPr>
                <w:rFonts w:ascii="Arial"/>
                <w:sz w:val="21"/>
              </w:rPr>
            </w:pPr>
            <w:r/>
          </w:p>
        </w:tc>
        <w:tc>
          <w:tcPr>
            <w:tcW w:w="799" w:type="dxa"/>
            <w:vAlign w:val="top"/>
            <w:vMerge w:val="continue"/>
            <w:tcBorders>
              <w:top w:val="nil"/>
            </w:tcBorders>
          </w:tcPr>
          <w:p>
            <w:pPr>
              <w:rPr>
                <w:rFonts w:ascii="Arial"/>
                <w:sz w:val="21"/>
              </w:rPr>
            </w:pPr>
            <w:r/>
          </w:p>
        </w:tc>
        <w:tc>
          <w:tcPr>
            <w:tcW w:w="6147" w:type="dxa"/>
            <w:vAlign w:val="top"/>
          </w:tcPr>
          <w:p>
            <w:pPr>
              <w:pStyle w:val="TableText"/>
              <w:ind w:left="62" w:right="55" w:firstLine="60"/>
              <w:spacing w:before="31" w:line="279" w:lineRule="auto"/>
              <w:jc w:val="both"/>
              <w:rPr/>
            </w:pPr>
            <w:r>
              <w:rPr/>
              <w:t>体育竞赛成果：占全面发展项目打分的5%,按照《上海大</w:t>
            </w:r>
            <w:r>
              <w:rPr>
                <w:spacing w:val="10"/>
              </w:rPr>
              <w:t xml:space="preserve"> </w:t>
            </w:r>
            <w:r>
              <w:rPr/>
              <w:t>学2026年推荐应届优秀本科毕业生免试攻读研究生体育加</w:t>
            </w:r>
            <w:r>
              <w:rPr>
                <w:spacing w:val="17"/>
              </w:rPr>
              <w:t xml:space="preserve"> </w:t>
            </w:r>
            <w:r>
              <w:rPr>
                <w:spacing w:val="3"/>
              </w:rPr>
              <w:t>分认定指导意见》进行计算。</w:t>
            </w:r>
          </w:p>
        </w:tc>
      </w:tr>
    </w:tbl>
    <w:p>
      <w:pPr>
        <w:pStyle w:val="BodyText"/>
        <w:ind w:right="39" w:firstLine="570"/>
        <w:spacing w:before="44" w:line="294" w:lineRule="auto"/>
        <w:jc w:val="both"/>
        <w:rPr/>
      </w:pPr>
      <w:r>
        <w:rPr>
          <w:sz w:val="27"/>
          <w:szCs w:val="27"/>
          <w:spacing w:val="-1"/>
        </w:rPr>
        <w:t>申请人需提供“全面发展相关项目”的证明材料，最后按专业根据上述遴选</w:t>
      </w:r>
      <w:r>
        <w:rPr>
          <w:sz w:val="27"/>
          <w:szCs w:val="27"/>
          <w:spacing w:val="12"/>
        </w:rPr>
        <w:t xml:space="preserve"> </w:t>
      </w:r>
      <w:r>
        <w:rPr>
          <w:spacing w:val="-5"/>
        </w:rPr>
        <w:t>指标的总分进行排序。具体参见附件《中欧工程技术学院2026年推免遴选综合</w:t>
      </w:r>
      <w:r>
        <w:rPr/>
        <w:t xml:space="preserve"> </w:t>
      </w:r>
      <w:r>
        <w:rPr>
          <w:spacing w:val="-16"/>
        </w:rPr>
        <w:t>评分细则》。</w:t>
      </w:r>
    </w:p>
    <w:p>
      <w:pPr>
        <w:pStyle w:val="BodyText"/>
        <w:ind w:left="533"/>
        <w:spacing w:before="287" w:line="220" w:lineRule="auto"/>
        <w:outlineLvl w:val="2"/>
        <w:rPr/>
      </w:pPr>
      <w:r>
        <w:rPr>
          <w:b/>
          <w:bCs/>
          <w:spacing w:val="-14"/>
        </w:rPr>
        <w:t>四、组织领导</w:t>
      </w:r>
    </w:p>
    <w:p>
      <w:pPr>
        <w:pStyle w:val="BodyText"/>
        <w:ind w:right="158" w:firstLine="529"/>
        <w:spacing w:before="8" w:line="288" w:lineRule="auto"/>
        <w:rPr/>
      </w:pPr>
      <w:r>
        <w:rPr>
          <w:rFonts w:ascii="Times New Roman" w:hAnsi="Times New Roman" w:eastAsia="Times New Roman" w:cs="Times New Roman"/>
          <w:spacing w:val="-8"/>
        </w:rPr>
        <w:t>1</w:t>
      </w:r>
      <w:r>
        <w:rPr>
          <w:spacing w:val="-8"/>
        </w:rPr>
        <w:t>、成立上海大学中欧工程技术学院2026年优秀应届</w:t>
      </w:r>
      <w:r>
        <w:rPr>
          <w:spacing w:val="-9"/>
        </w:rPr>
        <w:t>本科毕业生推荐免试攻</w:t>
      </w:r>
      <w:r>
        <w:rPr/>
        <w:t xml:space="preserve"> </w:t>
      </w:r>
      <w:r>
        <w:rPr>
          <w:spacing w:val="-12"/>
        </w:rPr>
        <w:t>读研究生遴选工作领导小组，负责学院实施办法的制</w:t>
      </w:r>
      <w:r>
        <w:rPr>
          <w:spacing w:val="-13"/>
        </w:rPr>
        <w:t>定和程序的规范执行等。</w:t>
      </w:r>
    </w:p>
    <w:p>
      <w:pPr>
        <w:pStyle w:val="BodyText"/>
        <w:ind w:left="529"/>
        <w:spacing w:line="221" w:lineRule="auto"/>
        <w:rPr/>
      </w:pPr>
      <w:r>
        <w:rPr>
          <w:spacing w:val="-10"/>
        </w:rPr>
        <w:t>组长：王</w:t>
      </w:r>
      <w:r>
        <w:rPr>
          <w:spacing w:val="109"/>
        </w:rPr>
        <w:t xml:space="preserve"> </w:t>
      </w:r>
      <w:r>
        <w:rPr>
          <w:spacing w:val="-10"/>
        </w:rPr>
        <w:t>勇</w:t>
      </w:r>
    </w:p>
    <w:p>
      <w:pPr>
        <w:pStyle w:val="BodyText"/>
        <w:ind w:left="529"/>
        <w:spacing w:before="118" w:line="219" w:lineRule="auto"/>
        <w:rPr>
          <w:sz w:val="26"/>
          <w:szCs w:val="26"/>
        </w:rPr>
      </w:pPr>
      <w:r>
        <w:rPr>
          <w:sz w:val="26"/>
          <w:szCs w:val="26"/>
          <w:spacing w:val="9"/>
        </w:rPr>
        <w:t>组员：刘建勇、王</w:t>
      </w:r>
      <w:r>
        <w:rPr>
          <w:sz w:val="26"/>
          <w:szCs w:val="26"/>
          <w:spacing w:val="4"/>
        </w:rPr>
        <w:t xml:space="preserve">  </w:t>
      </w:r>
      <w:r>
        <w:rPr>
          <w:sz w:val="26"/>
          <w:szCs w:val="26"/>
          <w:spacing w:val="9"/>
        </w:rPr>
        <w:t>灵、何卓衡、隋萍萍</w:t>
      </w:r>
    </w:p>
    <w:p>
      <w:pPr>
        <w:pStyle w:val="BodyText"/>
        <w:ind w:right="152" w:firstLine="529"/>
        <w:spacing w:before="104" w:line="294" w:lineRule="auto"/>
        <w:rPr/>
      </w:pPr>
      <w:r>
        <w:rPr>
          <w:rFonts w:ascii="Times New Roman" w:hAnsi="Times New Roman" w:eastAsia="Times New Roman" w:cs="Times New Roman"/>
          <w:spacing w:val="-9"/>
        </w:rPr>
        <w:t>2</w:t>
      </w:r>
      <w:r>
        <w:rPr>
          <w:spacing w:val="-9"/>
        </w:rPr>
        <w:t>、成立学院推荐工作投诉和初步仲裁小组，负责学院免试攻读研究生工作</w:t>
      </w:r>
      <w:r>
        <w:rPr>
          <w:spacing w:val="13"/>
        </w:rPr>
        <w:t xml:space="preserve"> </w:t>
      </w:r>
      <w:r>
        <w:rPr>
          <w:spacing w:val="-14"/>
        </w:rPr>
        <w:t>的监督检查和接受投诉等。</w:t>
      </w:r>
    </w:p>
    <w:p>
      <w:pPr>
        <w:pStyle w:val="BodyText"/>
        <w:ind w:left="529"/>
        <w:spacing w:before="1" w:line="220" w:lineRule="auto"/>
        <w:rPr>
          <w:sz w:val="27"/>
          <w:szCs w:val="27"/>
        </w:rPr>
      </w:pPr>
      <w:r>
        <w:rPr>
          <w:sz w:val="27"/>
          <w:szCs w:val="27"/>
          <w:spacing w:val="1"/>
        </w:rPr>
        <w:t>组长：刘建勇</w:t>
      </w:r>
    </w:p>
    <w:p>
      <w:pPr>
        <w:pStyle w:val="BodyText"/>
        <w:ind w:left="529"/>
        <w:spacing w:before="104" w:line="219" w:lineRule="auto"/>
        <w:rPr/>
      </w:pPr>
      <w:r>
        <w:rPr>
          <w:spacing w:val="-12"/>
        </w:rPr>
        <w:t>组员：隋萍萍、苏</w:t>
      </w:r>
      <w:r>
        <w:rPr>
          <w:spacing w:val="116"/>
        </w:rPr>
        <w:t xml:space="preserve"> </w:t>
      </w:r>
      <w:r>
        <w:rPr>
          <w:spacing w:val="-12"/>
        </w:rPr>
        <w:t>红</w:t>
      </w:r>
    </w:p>
    <w:p>
      <w:pPr>
        <w:pStyle w:val="BodyText"/>
        <w:ind w:left="529"/>
        <w:spacing w:before="106" w:line="216" w:lineRule="auto"/>
        <w:rPr/>
      </w:pPr>
      <w:r>
        <w:rPr/>
        <w:t>学院接受投诉电话：66135389,66132067,66132817</w:t>
      </w:r>
    </w:p>
    <w:p>
      <w:pPr>
        <w:pStyle w:val="BodyText"/>
        <w:ind w:left="2989" w:right="1560" w:hanging="2460"/>
        <w:spacing w:before="74" w:line="310" w:lineRule="auto"/>
        <w:rPr>
          <w:rFonts w:ascii="Times New Roman" w:hAnsi="Times New Roman" w:eastAsia="Times New Roman" w:cs="Times New Roman"/>
        </w:rPr>
      </w:pPr>
      <w:r>
        <w:rPr>
          <w:spacing w:val="-3"/>
        </w:rPr>
        <w:t>学院接受投诉信箱：</w:t>
      </w:r>
      <w:r>
        <w:rPr>
          <w:rFonts w:ascii="Times New Roman" w:hAnsi="Times New Roman" w:eastAsia="Times New Roman" w:cs="Times New Roman"/>
          <w:spacing w:val="-3"/>
        </w:rPr>
        <w:t>liujianyong@shu.edu.cn,adasui@shu.edu.</w:t>
      </w:r>
      <w:r>
        <w:rPr>
          <w:rFonts w:ascii="Times New Roman" w:hAnsi="Times New Roman" w:eastAsia="Times New Roman" w:cs="Times New Roman"/>
          <w:spacing w:val="-4"/>
        </w:rPr>
        <w:t>cn,</w:t>
      </w:r>
      <w:r>
        <w:rPr>
          <w:rFonts w:ascii="Times New Roman" w:hAnsi="Times New Roman" w:eastAsia="Times New Roman" w:cs="Times New Roman"/>
        </w:rPr>
        <w:t xml:space="preserve"> </w:t>
      </w:r>
      <w:r>
        <w:rPr>
          <w:rFonts w:ascii="Times New Roman" w:hAnsi="Times New Roman" w:eastAsia="Times New Roman" w:cs="Times New Roman"/>
          <w:spacing w:val="-6"/>
        </w:rPr>
        <w:t>suhong781123@163.com</w:t>
      </w:r>
    </w:p>
    <w:p>
      <w:pPr>
        <w:pStyle w:val="BodyText"/>
        <w:ind w:left="529"/>
        <w:spacing w:before="256" w:line="219" w:lineRule="auto"/>
        <w:rPr/>
      </w:pPr>
      <w:r>
        <w:rPr>
          <w:spacing w:val="-9"/>
        </w:rPr>
        <w:t>五、实施办法和程序</w:t>
      </w:r>
    </w:p>
    <w:p>
      <w:pPr>
        <w:pStyle w:val="BodyText"/>
        <w:spacing w:before="126" w:line="219" w:lineRule="auto"/>
        <w:rPr/>
      </w:pPr>
      <w:r>
        <w:rPr>
          <w:spacing w:val="2"/>
        </w:rPr>
        <w:t>9月2日             公布学院推免实</w:t>
      </w:r>
      <w:r>
        <w:rPr>
          <w:spacing w:val="1"/>
        </w:rPr>
        <w:t>施办法。</w:t>
      </w:r>
    </w:p>
    <w:p>
      <w:pPr>
        <w:pStyle w:val="BodyText"/>
        <w:spacing w:before="150" w:line="219" w:lineRule="auto"/>
        <w:rPr/>
      </w:pPr>
      <w:r>
        <w:rPr>
          <w:spacing w:val="15"/>
        </w:rPr>
        <w:t>9月2日-9月4日     学生报名，报名截至时间为9月4日15</w:t>
      </w:r>
      <w:r>
        <w:rPr>
          <w:spacing w:val="14"/>
        </w:rPr>
        <w:t>点。</w:t>
      </w:r>
    </w:p>
    <w:p>
      <w:pPr>
        <w:pStyle w:val="BodyText"/>
        <w:spacing w:before="156" w:line="219" w:lineRule="auto"/>
        <w:rPr/>
      </w:pPr>
      <w:r>
        <w:rPr>
          <w:spacing w:val="4"/>
        </w:rPr>
        <w:t>9月4日-9月7日     学院审核学生递交材料。学院材料审核专家小组审核学</w:t>
      </w:r>
    </w:p>
    <w:p>
      <w:pPr>
        <w:pStyle w:val="BodyText"/>
        <w:ind w:left="2849"/>
        <w:spacing w:before="147" w:line="312" w:lineRule="auto"/>
        <w:rPr/>
      </w:pPr>
      <w:r>
        <w:rPr>
          <w:spacing w:val="-14"/>
        </w:rPr>
        <w:t>生科研成果与竞赛获奖信息，并组织相关学生公开答</w:t>
      </w:r>
      <w:r>
        <w:rPr>
          <w:spacing w:val="-15"/>
        </w:rPr>
        <w:t>辩。</w:t>
      </w:r>
      <w:r>
        <w:rPr/>
        <w:t xml:space="preserve"> </w:t>
      </w:r>
      <w:r>
        <w:rPr>
          <w:spacing w:val="-11"/>
        </w:rPr>
        <w:t>学院推荐工作领导小组、材料审核专家小组将根据学生</w:t>
      </w:r>
    </w:p>
    <w:p>
      <w:pPr>
        <w:spacing w:line="312" w:lineRule="auto"/>
        <w:sectPr>
          <w:pgSz w:w="11920" w:h="16840"/>
          <w:pgMar w:top="1431" w:right="1180" w:bottom="0" w:left="1240" w:header="0" w:footer="0" w:gutter="0"/>
        </w:sectPr>
        <w:rPr/>
      </w:pPr>
    </w:p>
    <w:p>
      <w:pPr>
        <w:spacing w:before="211"/>
        <w:rPr/>
      </w:pPr>
      <w:r/>
    </w:p>
    <w:p>
      <w:pPr>
        <w:sectPr>
          <w:pgSz w:w="11920" w:h="16840"/>
          <w:pgMar w:top="1431" w:right="1292" w:bottom="0" w:left="1209" w:header="0" w:footer="0" w:gutter="0"/>
          <w:cols w:equalWidth="0" w:num="1">
            <w:col w:w="9418" w:space="0"/>
          </w:cols>
        </w:sectPr>
        <w:rPr/>
      </w:pPr>
    </w:p>
    <w:p>
      <w:pPr>
        <w:spacing w:line="300" w:lineRule="auto"/>
        <w:rPr>
          <w:rFonts w:ascii="Arial"/>
          <w:sz w:val="21"/>
        </w:rPr>
      </w:pPr>
      <w:r/>
    </w:p>
    <w:p>
      <w:pPr>
        <w:spacing w:line="300" w:lineRule="auto"/>
        <w:rPr>
          <w:rFonts w:ascii="Arial"/>
          <w:sz w:val="21"/>
        </w:rPr>
      </w:pPr>
      <w:r/>
    </w:p>
    <w:p>
      <w:pPr>
        <w:spacing w:line="300" w:lineRule="auto"/>
        <w:rPr>
          <w:rFonts w:ascii="Arial"/>
          <w:sz w:val="21"/>
        </w:rPr>
      </w:pPr>
      <w:r/>
    </w:p>
    <w:p>
      <w:pPr>
        <w:pStyle w:val="BodyText"/>
        <w:spacing w:before="91" w:line="219" w:lineRule="auto"/>
        <w:rPr/>
      </w:pPr>
      <w:r>
        <w:rPr>
          <w:spacing w:val="29"/>
        </w:rPr>
        <w:t>9月7日-9月10日</w:t>
      </w:r>
    </w:p>
    <w:p>
      <w:pPr>
        <w:spacing w:line="14" w:lineRule="auto"/>
        <w:rPr>
          <w:rFonts w:ascii="Arial"/>
          <w:sz w:val="2"/>
        </w:rPr>
      </w:pPr>
      <w:r>
        <w:rPr>
          <w:rFonts w:ascii="Arial" w:hAnsi="Arial" w:eastAsia="Arial" w:cs="Arial"/>
          <w:sz w:val="2"/>
          <w:szCs w:val="2"/>
        </w:rPr>
        <w:br w:type="column"/>
      </w:r>
    </w:p>
    <w:p>
      <w:pPr>
        <w:pStyle w:val="BodyText"/>
        <w:ind w:right="63"/>
        <w:spacing w:before="53" w:line="312" w:lineRule="auto"/>
        <w:rPr/>
      </w:pPr>
      <w:r>
        <w:rPr>
          <w:spacing w:val="-9"/>
        </w:rPr>
        <w:t>申请材料、答辩结果与学校的推荐名额确定学院拟推荐</w:t>
      </w:r>
      <w:r>
        <w:rPr>
          <w:spacing w:val="8"/>
        </w:rPr>
        <w:t xml:space="preserve"> </w:t>
      </w:r>
      <w:r>
        <w:rPr>
          <w:spacing w:val="-14"/>
        </w:rPr>
        <w:t>名单并排序，依照推荐条件，提出拟公示名单。</w:t>
      </w:r>
    </w:p>
    <w:p>
      <w:pPr>
        <w:pStyle w:val="BodyText"/>
        <w:ind w:right="42"/>
        <w:spacing w:before="4" w:line="317" w:lineRule="auto"/>
        <w:rPr/>
      </w:pPr>
      <w:r>
        <w:rPr>
          <w:spacing w:val="-8"/>
        </w:rPr>
        <w:t>学院推荐工作领导小组将拟推荐名单在学院网页上和学</w:t>
      </w:r>
      <w:r>
        <w:rPr>
          <w:spacing w:val="5"/>
        </w:rPr>
        <w:t xml:space="preserve"> </w:t>
      </w:r>
      <w:r>
        <w:rPr>
          <w:spacing w:val="-8"/>
        </w:rPr>
        <w:t>院橱窗内公示，并在公示结束后将拟推荐名单和材料报</w:t>
      </w:r>
      <w:r>
        <w:rPr>
          <w:spacing w:val="3"/>
        </w:rPr>
        <w:t xml:space="preserve"> </w:t>
      </w:r>
      <w:r>
        <w:rPr>
          <w:spacing w:val="-15"/>
        </w:rPr>
        <w:t>校教务部。</w:t>
      </w:r>
    </w:p>
    <w:p>
      <w:pPr>
        <w:spacing w:line="317" w:lineRule="auto"/>
        <w:sectPr>
          <w:type w:val="continuous"/>
          <w:pgSz w:w="11920" w:h="16840"/>
          <w:pgMar w:top="1431" w:right="1292" w:bottom="0" w:left="1209" w:header="0" w:footer="0" w:gutter="0"/>
          <w:cols w:equalWidth="0" w:num="2">
            <w:col w:w="2741" w:space="100"/>
            <w:col w:w="6578" w:space="0"/>
          </w:cols>
        </w:sectPr>
        <w:rPr/>
      </w:pPr>
    </w:p>
    <w:p>
      <w:pPr>
        <w:pStyle w:val="BodyText"/>
        <w:ind w:left="549"/>
        <w:spacing w:before="156" w:line="220" w:lineRule="auto"/>
        <w:rPr/>
      </w:pPr>
      <w:r>
        <w:rPr>
          <w:spacing w:val="-13"/>
        </w:rPr>
        <w:t>六、</w:t>
      </w:r>
      <w:r>
        <w:rPr>
          <w:b/>
          <w:bCs/>
          <w:spacing w:val="-13"/>
        </w:rPr>
        <w:t>其他</w:t>
      </w:r>
    </w:p>
    <w:p>
      <w:pPr>
        <w:pStyle w:val="BodyText"/>
        <w:ind w:right="63" w:firstLine="549"/>
        <w:spacing w:before="18" w:line="255" w:lineRule="auto"/>
        <w:rPr/>
      </w:pPr>
      <w:r>
        <w:rPr>
          <w:rFonts w:ascii="Times New Roman" w:hAnsi="Times New Roman" w:eastAsia="Times New Roman" w:cs="Times New Roman"/>
          <w:spacing w:val="-9"/>
        </w:rPr>
        <w:t>1.</w:t>
      </w:r>
      <w:r>
        <w:rPr>
          <w:rFonts w:ascii="Times New Roman" w:hAnsi="Times New Roman" w:eastAsia="Times New Roman" w:cs="Times New Roman"/>
          <w:spacing w:val="34"/>
          <w:w w:val="101"/>
        </w:rPr>
        <w:t xml:space="preserve">  </w:t>
      </w:r>
      <w:r>
        <w:rPr>
          <w:spacing w:val="-9"/>
        </w:rPr>
        <w:t>本学院学生可申请普通推免生、本校研究生支教团专项推免生，但只能</w:t>
      </w:r>
      <w:r>
        <w:rPr/>
        <w:t xml:space="preserve"> </w:t>
      </w:r>
      <w:r>
        <w:rPr>
          <w:spacing w:val="-13"/>
        </w:rPr>
        <w:t>选择其中一项，同时申请两项或两项以上者无效。</w:t>
      </w:r>
    </w:p>
    <w:p>
      <w:pPr>
        <w:pStyle w:val="BodyText"/>
        <w:ind w:right="41" w:firstLine="549"/>
        <w:spacing w:before="95" w:line="252" w:lineRule="auto"/>
        <w:rPr/>
      </w:pPr>
      <w:r>
        <w:rPr>
          <w:rFonts w:ascii="Times New Roman" w:hAnsi="Times New Roman" w:eastAsia="Times New Roman" w:cs="Times New Roman"/>
          <w:spacing w:val="-6"/>
        </w:rPr>
        <w:t>2.</w:t>
      </w:r>
      <w:r>
        <w:rPr>
          <w:rFonts w:ascii="Times New Roman" w:hAnsi="Times New Roman" w:eastAsia="Times New Roman" w:cs="Times New Roman"/>
          <w:spacing w:val="66"/>
        </w:rPr>
        <w:t xml:space="preserve"> </w:t>
      </w:r>
      <w:r>
        <w:rPr>
          <w:spacing w:val="-6"/>
        </w:rPr>
        <w:t>申请攻读本校推免生的学生，没有获得上海大学推荐名额的，本</w:t>
      </w:r>
      <w:r>
        <w:rPr>
          <w:spacing w:val="-7"/>
        </w:rPr>
        <w:t>校不予</w:t>
      </w:r>
      <w:r>
        <w:rPr/>
        <w:t xml:space="preserve"> </w:t>
      </w:r>
      <w:r>
        <w:rPr>
          <w:spacing w:val="-12"/>
        </w:rPr>
        <w:t>接收。</w:t>
      </w:r>
    </w:p>
    <w:p>
      <w:pPr>
        <w:pStyle w:val="BodyText"/>
        <w:ind w:right="44" w:firstLine="549"/>
        <w:spacing w:before="116" w:line="255" w:lineRule="auto"/>
        <w:rPr/>
      </w:pPr>
      <w:r>
        <w:rPr>
          <w:rFonts w:ascii="Times New Roman" w:hAnsi="Times New Roman" w:eastAsia="Times New Roman" w:cs="Times New Roman"/>
          <w:spacing w:val="-6"/>
        </w:rPr>
        <w:t>3.  </w:t>
      </w:r>
      <w:r>
        <w:rPr>
          <w:spacing w:val="-6"/>
        </w:rPr>
        <w:t>申请攻读外校推免生的学生，没在获得上海大学推荐名额的，外校录取</w:t>
      </w:r>
      <w:r>
        <w:rPr>
          <w:spacing w:val="1"/>
        </w:rPr>
        <w:t xml:space="preserve"> </w:t>
      </w:r>
      <w:r>
        <w:rPr>
          <w:spacing w:val="-15"/>
        </w:rPr>
        <w:t>或任何承诺均不获承认。</w:t>
      </w:r>
    </w:p>
    <w:p>
      <w:pPr>
        <w:pStyle w:val="BodyText"/>
        <w:ind w:right="25" w:firstLine="549"/>
        <w:spacing w:before="127" w:line="256" w:lineRule="auto"/>
        <w:rPr>
          <w:sz w:val="27"/>
          <w:szCs w:val="27"/>
        </w:rPr>
      </w:pPr>
      <w:r>
        <w:rPr>
          <w:rFonts w:ascii="Times New Roman" w:hAnsi="Times New Roman" w:eastAsia="Times New Roman" w:cs="Times New Roman"/>
          <w:sz w:val="27"/>
          <w:szCs w:val="27"/>
          <w:spacing w:val="3"/>
        </w:rPr>
        <w:t>4.</w:t>
      </w:r>
      <w:r>
        <w:rPr>
          <w:rFonts w:ascii="Times New Roman" w:hAnsi="Times New Roman" w:eastAsia="Times New Roman" w:cs="Times New Roman"/>
          <w:sz w:val="27"/>
          <w:szCs w:val="27"/>
          <w:spacing w:val="18"/>
        </w:rPr>
        <w:t xml:space="preserve">  </w:t>
      </w:r>
      <w:r>
        <w:rPr>
          <w:sz w:val="27"/>
          <w:szCs w:val="27"/>
          <w:spacing w:val="3"/>
        </w:rPr>
        <w:t>其他未尽事宜请参考《上海大学2026年推荐优秀应</w:t>
      </w:r>
      <w:r>
        <w:rPr>
          <w:sz w:val="27"/>
          <w:szCs w:val="27"/>
          <w:spacing w:val="2"/>
        </w:rPr>
        <w:t>届本科毕业生免试攻</w:t>
      </w:r>
      <w:r>
        <w:rPr>
          <w:sz w:val="27"/>
          <w:szCs w:val="27"/>
          <w:spacing w:val="1"/>
        </w:rPr>
        <w:t xml:space="preserve"> </w:t>
      </w:r>
      <w:r>
        <w:rPr>
          <w:sz w:val="27"/>
          <w:szCs w:val="27"/>
          <w:spacing w:val="9"/>
        </w:rPr>
        <w:t>读研究生工作实施办法》(上大内〔2025〕151号)。</w:t>
      </w:r>
    </w:p>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BodyText"/>
        <w:ind w:right="5"/>
        <w:spacing w:before="105" w:line="219" w:lineRule="auto"/>
        <w:jc w:val="right"/>
        <w:rPr>
          <w:sz w:val="32"/>
          <w:szCs w:val="32"/>
        </w:rPr>
      </w:pPr>
      <w:r>
        <w:drawing>
          <wp:anchor distT="0" distB="0" distL="0" distR="0" simplePos="0" relativeHeight="251658240" behindDoc="0" locked="0" layoutInCell="1" allowOverlap="1">
            <wp:simplePos x="0" y="0"/>
            <wp:positionH relativeFrom="column">
              <wp:posOffset>4190990</wp:posOffset>
            </wp:positionH>
            <wp:positionV relativeFrom="paragraph">
              <wp:posOffset>-373431</wp:posOffset>
            </wp:positionV>
            <wp:extent cx="1416045" cy="1403401"/>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1416045" cy="1403401"/>
                    </a:xfrm>
                    <a:prstGeom prst="rect">
                      <a:avLst/>
                    </a:prstGeom>
                  </pic:spPr>
                </pic:pic>
              </a:graphicData>
            </a:graphic>
          </wp:anchor>
        </w:drawing>
      </w:r>
      <w:r>
        <w:rPr>
          <w:sz w:val="32"/>
          <w:szCs w:val="32"/>
          <w:spacing w:val="-14"/>
        </w:rPr>
        <w:t>上海大学中欧工程技术学院</w:t>
      </w:r>
    </w:p>
    <w:p>
      <w:pPr>
        <w:pStyle w:val="BodyText"/>
        <w:spacing w:before="101" w:line="219" w:lineRule="auto"/>
        <w:jc w:val="right"/>
        <w:rPr>
          <w:sz w:val="32"/>
          <w:szCs w:val="32"/>
        </w:rPr>
      </w:pPr>
      <w:r>
        <w:rPr>
          <w:sz w:val="32"/>
          <w:szCs w:val="32"/>
          <w:spacing w:val="37"/>
        </w:rPr>
        <w:t>2025年9月2日</w:t>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BodyText"/>
        <w:ind w:left="680" w:right="547" w:firstLine="100"/>
        <w:spacing w:before="101" w:line="217" w:lineRule="auto"/>
        <w:tabs>
          <w:tab w:val="left" w:pos="945"/>
        </w:tabs>
        <w:rPr>
          <w:sz w:val="31"/>
          <w:szCs w:val="31"/>
        </w:rPr>
      </w:pPr>
      <w:r>
        <w:rPr>
          <w:sz w:val="31"/>
          <w:szCs w:val="31"/>
          <w:u w:val="single" w:color="auto"/>
          <w:spacing w:val="44"/>
        </w:rPr>
        <w:t>主题词：推荐2026年</w:t>
      </w:r>
      <w:r>
        <w:rPr>
          <w:sz w:val="31"/>
          <w:szCs w:val="31"/>
          <w:u w:val="single" w:color="auto"/>
          <w:spacing w:val="12"/>
        </w:rPr>
        <w:t xml:space="preserve">   </w:t>
      </w:r>
      <w:r>
        <w:rPr>
          <w:sz w:val="31"/>
          <w:szCs w:val="31"/>
          <w:u w:val="single" w:color="auto"/>
          <w:spacing w:val="44"/>
        </w:rPr>
        <w:t>免试研究生</w:t>
      </w:r>
      <w:r>
        <w:rPr>
          <w:sz w:val="31"/>
          <w:szCs w:val="31"/>
          <w:u w:val="single" w:color="auto"/>
          <w:spacing w:val="131"/>
        </w:rPr>
        <w:t xml:space="preserve"> </w:t>
      </w:r>
      <w:r>
        <w:rPr>
          <w:sz w:val="31"/>
          <w:szCs w:val="31"/>
          <w:u w:val="single" w:color="auto"/>
          <w:spacing w:val="44"/>
        </w:rPr>
        <w:t>实施办法</w:t>
      </w:r>
      <w:r>
        <w:rPr>
          <w:sz w:val="31"/>
          <w:szCs w:val="31"/>
          <w:u w:val="single" w:color="auto"/>
          <w:spacing w:val="13"/>
        </w:rPr>
        <w:t xml:space="preserve">     </w:t>
      </w:r>
      <w:r>
        <w:rPr>
          <w:sz w:val="31"/>
          <w:szCs w:val="31"/>
          <w:spacing w:val="1"/>
        </w:rPr>
        <w:t xml:space="preserve"> </w:t>
      </w:r>
      <w:r>
        <w:rPr>
          <w:sz w:val="31"/>
          <w:szCs w:val="31"/>
          <w:u w:val="single" w:color="auto"/>
        </w:rPr>
        <w:tab/>
      </w:r>
      <w:r>
        <w:rPr>
          <w:sz w:val="31"/>
          <w:szCs w:val="31"/>
          <w:u w:val="single" w:color="auto"/>
          <w:spacing w:val="51"/>
        </w:rPr>
        <w:t>中欧工程技术学院           20</w:t>
      </w:r>
      <w:r>
        <w:rPr>
          <w:sz w:val="31"/>
          <w:szCs w:val="31"/>
          <w:u w:val="single" w:color="auto"/>
          <w:spacing w:val="50"/>
        </w:rPr>
        <w:t>25年9月2日发</w:t>
      </w:r>
    </w:p>
    <w:p>
      <w:pPr>
        <w:pStyle w:val="BodyText"/>
        <w:ind w:left="1079"/>
        <w:spacing w:before="42" w:line="184" w:lineRule="auto"/>
        <w:rPr>
          <w:sz w:val="31"/>
          <w:szCs w:val="31"/>
        </w:rPr>
      </w:pPr>
      <w:r>
        <w:rPr>
          <w:sz w:val="31"/>
          <w:szCs w:val="31"/>
          <w:spacing w:val="-9"/>
        </w:rPr>
        <w:t>校对：姜瑾</w:t>
      </w:r>
      <w:r>
        <w:rPr>
          <w:sz w:val="31"/>
          <w:szCs w:val="31"/>
          <w:spacing w:val="3"/>
        </w:rPr>
        <w:t xml:space="preserve">                            </w:t>
      </w:r>
      <w:r>
        <w:rPr>
          <w:sz w:val="31"/>
          <w:szCs w:val="31"/>
          <w:spacing w:val="-9"/>
        </w:rPr>
        <w:t>(共印8份)</w:t>
      </w:r>
    </w:p>
    <w:sectPr>
      <w:type w:val="continuous"/>
      <w:pgSz w:w="11920" w:h="16840"/>
      <w:pgMar w:top="1431" w:right="1292" w:bottom="0" w:left="1209" w:header="0" w:footer="0" w:gutter="0"/>
      <w:cols w:equalWidth="0" w:num="1">
        <w:col w:w="941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8"/>
      <w:szCs w:val="28"/>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settings" Target="settings.xml"/><Relationship Id="rId2" Type="http://schemas.openxmlformats.org/officeDocument/2006/relationships/image" Target="media/image2.png"/><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2026-09-11T16:50:34Z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2026-09-11T16:50:35</vt:filetime>
  </property>
  <property fmtid="{D5CDD505-2E9C-101B-9397-08002B2CF9AE}" pid="4" name="UsrData">
    <vt:lpwstr>6aa3c0d8027ecd001f075e8bwl</vt:lpwstr>
  </property>
</Properties>
</file>