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line="360" w:lineRule="auto"/>
        <w:ind w:firstLine="482"/>
        <w:jc w:val="both"/>
      </w:pPr>
      <w:r>
        <w:rPr>
          <w:rFonts w:ascii="Times New Roman" w:hAnsi="Times New Roman" w:eastAsia="宋体"/>
          <w:sz w:val="24"/>
        </w:rPr>
        <w:t>国际经济与贸易学院关于接收2026年推免生考核工作补充说明-中央财经大学国际经济与贸易学院</w:t>
      </w:r>
    </w:p>
    <w:p>
      <w:pPr>
        <w:spacing w:after="80" w:line="360" w:lineRule="auto"/>
        <w:ind w:firstLine="482"/>
        <w:jc w:val="both"/>
      </w:pPr>
      <w:r>
        <w:rPr>
          <w:rFonts w:ascii="Times New Roman" w:hAnsi="Times New Roman" w:eastAsia="宋体"/>
          <w:sz w:val="24"/>
        </w:rPr>
        <w:t>中央财经大学国际经济与贸易学院接收2026届推免生考核活动将于2025年9月16日-17日在中央财经大学沙河校区举行。现将相关事项通知如下：</w:t>
      </w:r>
    </w:p>
    <w:p>
      <w:pPr>
        <w:spacing w:before="160" w:after="80" w:line="360" w:lineRule="auto"/>
      </w:pPr>
      <w:r>
        <w:rPr>
          <w:rFonts w:ascii="Times New Roman" w:hAnsi="Times New Roman" w:eastAsia="宋体"/>
          <w:b/>
          <w:sz w:val="28"/>
        </w:rPr>
        <w:t>一、学院简介</w:t>
      </w:r>
    </w:p>
    <w:p>
      <w:pPr>
        <w:spacing w:after="80" w:line="360" w:lineRule="auto"/>
        <w:ind w:firstLine="482"/>
        <w:jc w:val="both"/>
      </w:pPr>
      <w:r>
        <w:rPr>
          <w:rFonts w:ascii="Times New Roman" w:hAnsi="Times New Roman" w:eastAsia="宋体"/>
          <w:sz w:val="24"/>
        </w:rPr>
        <w:t>学院确立“有特色、国际化的高水平研究型学院”的建设目标，把立德树人作为各项事业发展的根本任务，扎根中国大地办教育，牢牢把握“双一流”建设和我国新时代对外开放的历史机遇，最近二十年取得了跨越式发展，成为我校应用经济学世界一流学科建设的重要组成部分，具有良好的社会知名度与美誉度，形成了“本-硕-博”多层次、完整的人才培养体系，拥有国家级一流本科专业。学院现设有国际贸易学系、国际商务学系、贸易经济学系、国际经贸现代化教学创新中心和案例教学与研究中心，组建了“全球贸易与投资政策研究中心”、“国际商务研究中心”、“国际经济大数据研究中心”、“国际投资研究中心”以及“贸易措施测度实验室”和“国际商务模拟实验室”。</w:t>
      </w:r>
    </w:p>
    <w:p>
      <w:pPr>
        <w:spacing w:after="80" w:line="360" w:lineRule="auto"/>
        <w:ind w:firstLine="482"/>
        <w:jc w:val="both"/>
      </w:pPr>
      <w:r>
        <w:rPr>
          <w:rFonts w:ascii="Times New Roman" w:hAnsi="Times New Roman" w:eastAsia="宋体"/>
          <w:sz w:val="24"/>
        </w:rPr>
        <w:t>学院拥有教育部“新世纪优秀人才支持计划”入选者1人，国家社科基金重大项目专家5人，国家级高层次领军人才1人，青年人才3人，中央财经大学“龙马学者”特聘教授1人、青年学者4人。建院以来，1位教师获北京市管理育人先锋，1位教师获北京市教书育人先锋，1位教师获北京市服务育人先锋，1位教师获北京市优秀教师。学院多位教师担任全国国际商务专业学位研究生教育指导委员会委员、中国数量经济学会副会长、中商智库副理事长、教育部普通高等学校本科专业（国际经济与贸易）认证专家等。学院教师爱岗敬业、学术功底深厚、国际化程度高，年龄结构合理，资深学者与青年才俊优势互补，极富活力与创造力。学院还聘请了几十位国内外知名专家、学者担任客座教授、国际商务专业学位校外导师。截止到2025年9月，学院拥有教学科研岗专任教师33人，具有博士学位的教师占比100%，具有高级职称的教师27人，占比81.8%，获得海外博士学位和海外学习经历的教师29人，占比87.9%，他们均来自世界名校，如加州大学洛杉矶分校（UCLA）、加州大学戴维斯分校（UC Davis）等。师资均毕业于国内外知名高校，学缘结构多元化。</w:t>
      </w:r>
    </w:p>
    <w:p>
      <w:pPr>
        <w:spacing w:after="80" w:line="360" w:lineRule="auto"/>
        <w:ind w:firstLine="482"/>
        <w:jc w:val="both"/>
      </w:pPr>
      <w:r>
        <w:rPr>
          <w:rFonts w:ascii="Times New Roman" w:hAnsi="Times New Roman" w:eastAsia="宋体"/>
          <w:sz w:val="24"/>
        </w:rPr>
        <w:t>学术成果和科研实力在圈内影响较大，截止到2025年9月，学院教师累计发表各类论文1100多篇，其中在International Economic Review、Journal of Marketing Research、Journal of International Economics、Management Science、Journal of Public Economics、Journal of Development Economics、European Economic Review等TOP级期刊发表论文8篇，在《经济研究》、《世界经济》、《管理世界》、《经济学（季刊）》、《管理科学学报》、《求是》、Journal of Economic Behavior and Organization、Journal of Economic Dynamics &amp; Control、Journal of Comparative Economics、Economic Inquiry、Economics of Transition等顶级期刊发表论文116篇，CSSCI论文共计520多篇，SSCI论文共计220多篇，SCI论文50多篇。学院教师累计获得纵向项目立项78项，其中国家级项目49项，包括国家自科基金项目26项、国家社科基金项目23项（含国家社科基金重大项目5项、领军人才项目1项），省部级项目29项，包括教育部人文社科项目15项，北京市社科、自科基金项目14项；获得横向项目立项90多项，其中财政部、国家发改委、商务部等国家部委课题20多项。出版著作150多部，其中教材30多部。90多篇研究报告获得省级政府部门采纳，其中16篇获得党和国家领导人批示，26篇报告经教育部等报送被中办、国办采纳，10多篇报告获得教育部、国家发改委、商务部等国家部委采纳。获得各类成果奖励90多项，其中省部级奖励25项，包括安子介国际贸易研究奖8项、商务部商务发展研究成果奖6项、浦山世界经济学优秀论文奖1项、中国社会科学院优秀对策信息和成果奖3项等。</w:t>
      </w:r>
    </w:p>
    <w:p>
      <w:pPr>
        <w:spacing w:after="80" w:line="360" w:lineRule="auto"/>
        <w:ind w:firstLine="482"/>
        <w:jc w:val="both"/>
      </w:pPr>
      <w:r>
        <w:rPr>
          <w:rFonts w:ascii="Times New Roman" w:hAnsi="Times New Roman" w:eastAsia="宋体"/>
          <w:sz w:val="24"/>
        </w:rPr>
        <w:t>学院致力于培养具有全球视野、专业基础扎实、跨文化交流能力强、综合素质优良、具有显著竞争力的国际化、复合型和创新性人才，形成了层次完整、中外学生兼收的“本-硕-博”高水平人才培养体系。现有国际经济与贸易、国际经济与贸易（国际贸易/金融风险管理方向）、国际商务和贸易经济四类本科专业，国际贸易学学术学位硕士和国际商务专业学位硕士授权点，国际贸易学博士授权点，应用经济学国际贸易学专业博士后流动站，还有全英文硕士、全英文博士留学生项目、“一带一路”中文硕士留学生项目，在校生1500余人。</w:t>
      </w:r>
    </w:p>
    <w:p>
      <w:pPr>
        <w:spacing w:after="80" w:line="360" w:lineRule="auto"/>
        <w:ind w:firstLine="482"/>
        <w:jc w:val="both"/>
      </w:pPr>
      <w:r>
        <w:rPr>
          <w:rFonts w:ascii="Times New Roman" w:hAnsi="Times New Roman" w:eastAsia="宋体"/>
          <w:sz w:val="24"/>
        </w:rPr>
        <w:t>国际化是学院的主要特色，也是发展的战略重点之一，目前已经在师资、合作办学、双语教学、留学生教育、合作研究和国际发表等取得了丰硕成果。大力引进国际化教育背景教师，邀请海外专家学术交流，鼓励高水平的国际发表和国际科研合作，举办国际学术研讨会，实施学生国际交流计划。推进全英文留学生硕士和博士项目建设。学院与美国加州大学洛杉矶分校、澳大利亚阿德莱德大学、英国牛津大学等多所知名大学建立了学术联系。</w:t>
      </w:r>
    </w:p>
    <w:p>
      <w:pPr>
        <w:spacing w:after="80" w:line="360" w:lineRule="auto"/>
        <w:ind w:firstLine="482"/>
        <w:jc w:val="both"/>
      </w:pPr>
      <w:r>
        <w:rPr>
          <w:rFonts w:ascii="Times New Roman" w:hAnsi="Times New Roman" w:eastAsia="宋体"/>
          <w:sz w:val="24"/>
        </w:rPr>
        <w:t>毕业生深造与就业流向特色鲜明，就业质量较高，多年全校排名前列。毕业生专业素养过硬、视野开阔、综合素质好，跨文化沟通能力强，研究生毕业生就业率基本保持在100%。毕业生竞争力强，主要进入银行、证券公司、保险金融机构、金融监管机构、党政机关（选调生）和事业单位以及外资和民营企业，如商务部、财政部、教育部、国家发展和改革委员会、国务院国有资产监督管理委员会、中国工商银行、中国银行、中国建设银行、中国农业银行、国家开发银行、中国进出口银行、中央国债登记结算有限责任公司、中信证券、中信建投证券、南方基金、中国出口信用保险公司、中粮集团、中国石化、中国五矿、中国有色金属、路易达孚、安永、普华永道、华为、百度、腾讯、阿里巴巴、字节跳动等。</w:t>
      </w:r>
    </w:p>
    <w:p/>
    <w:tbl>
      <w:tblPr>
        <w:tblStyle w:val="TableGrid"/>
        <w:tblW w:type="auto" w:w="0"/>
        <w:jc w:val="center"/>
        <w:tblLook w:firstColumn="1" w:firstRow="1" w:lastColumn="0" w:lastRow="0" w:noHBand="0" w:noVBand="1" w:val="04A0"/>
      </w:tblPr>
      <w:tblGrid>
        <w:gridCol w:w="2158"/>
        <w:gridCol w:w="2158"/>
        <w:gridCol w:w="2158"/>
        <w:gridCol w:w="2158"/>
      </w:tblGrid>
      <w:tr>
        <w:tc>
          <w:tcPr>
            <w:tcW w:type="dxa" w:w="2158"/>
          </w:tcPr>
          <w:p>
            <w:pPr>
              <w:jc w:val="center"/>
            </w:pPr>
            <w:r>
              <w:rPr>
                <w:rFonts w:ascii="Times New Roman" w:hAnsi="Times New Roman" w:eastAsia="宋体"/>
                <w:sz w:val="21"/>
              </w:rPr>
              <w:t>二、招生专业和指标</w:t>
            </w:r>
          </w:p>
        </w:tc>
        <w:tc>
          <w:tcPr>
            <w:tcW w:type="dxa" w:w="2158"/>
          </w:tcPr>
          <w:p>
            <w:pPr>
              <w:jc w:val="center"/>
            </w:pPr>
            <w:r>
              <w:rPr>
                <w:rFonts w:ascii="Times New Roman" w:hAnsi="Times New Roman" w:eastAsia="宋体"/>
                <w:sz w:val="21"/>
              </w:rPr>
              <w:t>专业名称</w:t>
            </w:r>
          </w:p>
        </w:tc>
        <w:tc>
          <w:tcPr>
            <w:tcW w:type="dxa" w:w="2158"/>
          </w:tcPr>
          <w:p>
            <w:pPr>
              <w:jc w:val="center"/>
            </w:pPr>
            <w:r>
              <w:rPr>
                <w:rFonts w:ascii="Times New Roman" w:hAnsi="Times New Roman" w:eastAsia="宋体"/>
                <w:sz w:val="21"/>
              </w:rPr>
              <w:t>推免类别</w:t>
            </w:r>
          </w:p>
        </w:tc>
        <w:tc>
          <w:tcPr>
            <w:tcW w:type="dxa" w:w="2158"/>
          </w:tcPr>
          <w:p>
            <w:pPr>
              <w:jc w:val="center"/>
            </w:pPr>
            <w:r>
              <w:rPr>
                <w:rFonts w:ascii="Times New Roman" w:hAnsi="Times New Roman" w:eastAsia="宋体"/>
                <w:sz w:val="21"/>
              </w:rPr>
              <w:t>招生计划</w:t>
            </w:r>
          </w:p>
        </w:tc>
      </w:tr>
      <w:tr>
        <w:tc>
          <w:tcPr>
            <w:tcW w:type="dxa" w:w="2158"/>
          </w:tcPr>
          <w:p>
            <w:pPr>
              <w:jc w:val="center"/>
            </w:pPr>
            <w:r>
              <w:rPr>
                <w:rFonts w:ascii="Times New Roman" w:hAnsi="Times New Roman" w:eastAsia="宋体"/>
                <w:sz w:val="21"/>
              </w:rPr>
              <w:t>国际贸易学</w:t>
            </w:r>
          </w:p>
        </w:tc>
        <w:tc>
          <w:tcPr>
            <w:tcW w:type="dxa" w:w="2158"/>
          </w:tcPr>
          <w:p>
            <w:pPr>
              <w:jc w:val="center"/>
            </w:pPr>
            <w:r>
              <w:rPr>
                <w:rFonts w:ascii="Times New Roman" w:hAnsi="Times New Roman" w:eastAsia="宋体"/>
                <w:sz w:val="21"/>
              </w:rPr>
              <w:t>学术学位项目</w:t>
            </w:r>
          </w:p>
        </w:tc>
        <w:tc>
          <w:tcPr>
            <w:tcW w:type="dxa" w:w="2158"/>
          </w:tcPr>
          <w:p>
            <w:pPr>
              <w:jc w:val="center"/>
            </w:pPr>
            <w:r>
              <w:rPr>
                <w:rFonts w:ascii="Times New Roman" w:hAnsi="Times New Roman" w:eastAsia="宋体"/>
                <w:sz w:val="21"/>
              </w:rPr>
              <w:t>8</w:t>
            </w:r>
          </w:p>
        </w:tc>
        <w:tc>
          <w:tcPr>
            <w:tcW w:type="dxa" w:w="2158"/>
          </w:tcPr>
          <w:p>
            <w:pPr>
              <w:jc w:val="center"/>
            </w:pPr>
            <w:r>
              <w:rPr>
                <w:rFonts w:ascii="Times New Roman" w:hAnsi="Times New Roman" w:eastAsia="宋体"/>
                <w:sz w:val="21"/>
              </w:rPr>
              <w:t>国际商务</w:t>
            </w:r>
          </w:p>
        </w:tc>
      </w:tr>
      <w:tr>
        <w:tc>
          <w:tcPr>
            <w:tcW w:type="dxa" w:w="2158"/>
          </w:tcPr>
          <w:p>
            <w:pPr>
              <w:jc w:val="center"/>
            </w:pPr>
            <w:r>
              <w:rPr>
                <w:rFonts w:ascii="Times New Roman" w:hAnsi="Times New Roman" w:eastAsia="宋体"/>
                <w:sz w:val="21"/>
              </w:rPr>
              <w:t>专业学位项目</w:t>
            </w:r>
          </w:p>
        </w:tc>
        <w:tc>
          <w:tcPr>
            <w:tcW w:type="dxa" w:w="2158"/>
          </w:tcPr>
          <w:p>
            <w:pPr>
              <w:jc w:val="center"/>
            </w:pPr>
            <w:r>
              <w:rPr>
                <w:rFonts w:ascii="Times New Roman" w:hAnsi="Times New Roman" w:eastAsia="宋体"/>
                <w:sz w:val="21"/>
              </w:rPr>
              <w:t>23</w:t>
            </w:r>
          </w:p>
        </w:tc>
        <w:tc>
          <w:tcPr>
            <w:tcW w:type="dxa" w:w="2158"/>
          </w:tcPr>
          <w:p>
            <w:pPr>
              <w:jc w:val="center"/>
            </w:pPr>
            <w:r>
              <w:rPr>
                <w:rFonts w:ascii="Times New Roman" w:hAnsi="Times New Roman" w:eastAsia="宋体"/>
                <w:sz w:val="21"/>
              </w:rPr>
              <w:t>合计</w:t>
            </w:r>
          </w:p>
        </w:tc>
        <w:tc>
          <w:tcPr>
            <w:tcW w:type="dxa" w:w="2158"/>
          </w:tcPr>
          <w:p>
            <w:pPr>
              <w:jc w:val="center"/>
            </w:pPr>
            <w:r>
              <w:rPr>
                <w:rFonts w:ascii="Times New Roman" w:hAnsi="Times New Roman" w:eastAsia="宋体"/>
                <w:sz w:val="21"/>
              </w:rPr>
              <w:t>31</w:t>
            </w:r>
          </w:p>
        </w:tc>
      </w:tr>
    </w:tbl>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