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0" w:after="80"/>
        <w:ind w:firstLine="482"/>
        <w:jc w:val="both"/>
      </w:pPr>
      <w:r>
        <w:rPr>
          <w:rFonts w:ascii="Times New Roman" w:hAnsi="Times New Roman" w:eastAsia="宋体"/>
          <w:b w:val="0"/>
          <w:sz w:val="24"/>
        </w:rPr>
        <w:t>为了落实学校《内蒙古科技大学关于推荐2026届优秀应届本科毕业生免试攻读硕士学位研究生工作的实施方案》文件精神，加强对推免生工作的管理，促进推免生工作的规范化和制度化，保证推免生质量，结合学院实际情况，制定理学院推荐2026届优秀应届本科毕业生免试攻读硕士学位研究生工作实施细则。</w:t>
      </w:r>
    </w:p>
    <w:p>
      <w:pPr>
        <w:spacing w:line="360" w:lineRule="auto" w:before="160" w:after="80"/>
        <w:ind w:firstLine="0"/>
        <w:jc w:val="left"/>
      </w:pPr>
      <w:r>
        <w:rPr>
          <w:rFonts w:ascii="Times New Roman" w:hAnsi="Times New Roman" w:eastAsia="宋体"/>
          <w:b/>
          <w:sz w:val="28"/>
        </w:rPr>
        <w:t>一、指导思想</w:t>
      </w:r>
    </w:p>
    <w:p>
      <w:pPr>
        <w:spacing w:line="360" w:lineRule="auto" w:before="0" w:after="80"/>
        <w:ind w:firstLine="482"/>
        <w:jc w:val="both"/>
      </w:pPr>
      <w:r>
        <w:rPr>
          <w:rFonts w:ascii="Times New Roman" w:hAnsi="Times New Roman" w:eastAsia="宋体"/>
          <w:b w:val="0"/>
          <w:sz w:val="24"/>
        </w:rPr>
        <w:t>围绕落实立德树人根本任务，着力服务国家发展战略，牢固树立质量意识，坚持全面考查、综合评价、择优选拔的原则，坚持公开、公平、公正原则，通过推免工作引导学生全面发展。</w:t>
      </w:r>
    </w:p>
    <w:p>
      <w:pPr>
        <w:spacing w:line="360" w:lineRule="auto" w:before="160" w:after="80"/>
        <w:ind w:firstLine="0"/>
        <w:jc w:val="left"/>
      </w:pPr>
      <w:r>
        <w:rPr>
          <w:rFonts w:ascii="Times New Roman" w:hAnsi="Times New Roman" w:eastAsia="宋体"/>
          <w:b/>
          <w:sz w:val="28"/>
        </w:rPr>
        <w:t>二、组织领导</w:t>
      </w:r>
    </w:p>
    <w:p>
      <w:pPr>
        <w:spacing w:line="360" w:lineRule="auto" w:before="120" w:after="60"/>
        <w:ind w:firstLine="0"/>
        <w:jc w:val="left"/>
      </w:pPr>
      <w:r>
        <w:rPr>
          <w:rFonts w:ascii="Times New Roman" w:hAnsi="Times New Roman" w:eastAsia="宋体"/>
          <w:b/>
          <w:sz w:val="24"/>
        </w:rPr>
        <w:t>组长:李军、马永红</w:t>
      </w:r>
    </w:p>
    <w:p>
      <w:pPr>
        <w:spacing w:line="360" w:lineRule="auto" w:before="120" w:after="60"/>
        <w:ind w:firstLine="0"/>
        <w:jc w:val="left"/>
      </w:pPr>
      <w:r>
        <w:rPr>
          <w:rFonts w:ascii="Times New Roman" w:hAnsi="Times New Roman" w:eastAsia="宋体"/>
          <w:b/>
          <w:sz w:val="24"/>
        </w:rPr>
        <w:t>副组长：李明昕</w:t>
      </w:r>
    </w:p>
    <w:p>
      <w:pPr>
        <w:spacing w:line="360" w:lineRule="auto" w:before="120" w:after="60"/>
        <w:ind w:firstLine="0"/>
        <w:jc w:val="left"/>
      </w:pPr>
      <w:r>
        <w:rPr>
          <w:rFonts w:ascii="Times New Roman" w:hAnsi="Times New Roman" w:eastAsia="宋体"/>
          <w:b/>
          <w:sz w:val="24"/>
        </w:rPr>
        <w:t>成员:贺帅、郭勇、包照日格图、罗婵、江凡璐</w:t>
      </w:r>
    </w:p>
    <w:p>
      <w:pPr>
        <w:spacing w:line="360" w:lineRule="auto" w:before="160" w:after="80"/>
        <w:ind w:firstLine="0"/>
        <w:jc w:val="left"/>
      </w:pPr>
      <w:r>
        <w:rPr>
          <w:rFonts w:ascii="Times New Roman" w:hAnsi="Times New Roman" w:eastAsia="宋体"/>
          <w:b/>
          <w:sz w:val="28"/>
        </w:rPr>
        <w:t>三、申请条件</w:t>
      </w:r>
    </w:p>
    <w:p>
      <w:pPr>
        <w:spacing w:line="360" w:lineRule="auto" w:before="0" w:after="80"/>
        <w:ind w:firstLine="482"/>
        <w:jc w:val="both"/>
      </w:pPr>
      <w:r>
        <w:rPr>
          <w:rFonts w:ascii="Times New Roman" w:hAnsi="Times New Roman" w:eastAsia="宋体"/>
          <w:b w:val="0"/>
          <w:sz w:val="24"/>
        </w:rPr>
        <w:t>推荐工作遵循德、智、体、美、劳全面衡量，坚持择优推荐、保证质量、宁缺勿滥和公平、公正、公开的原则。注重对推荐人选的学习成绩考核，同时加强对推荐人选的思想品德考核，确保免试推荐人选的思想品德素质。被推荐人应当同时具备以下基本条件：</w:t>
      </w:r>
    </w:p>
    <w:p>
      <w:pPr>
        <w:spacing w:line="360" w:lineRule="auto" w:before="160" w:after="80"/>
        <w:ind w:firstLine="0"/>
        <w:jc w:val="left"/>
      </w:pPr>
      <w:r>
        <w:rPr>
          <w:rFonts w:ascii="Times New Roman" w:hAnsi="Times New Roman" w:eastAsia="宋体"/>
          <w:b/>
          <w:sz w:val="28"/>
        </w:rPr>
        <w:t>（一）纳入国家普通本科招生计划录取的应届毕业生（不含专升本、第二学士学位学生）。</w:t>
      </w:r>
    </w:p>
    <w:p>
      <w:pPr>
        <w:spacing w:line="360" w:lineRule="auto" w:before="160" w:after="80"/>
        <w:ind w:firstLine="0"/>
        <w:jc w:val="left"/>
      </w:pPr>
      <w:r>
        <w:rPr>
          <w:rFonts w:ascii="Times New Roman" w:hAnsi="Times New Roman" w:eastAsia="宋体"/>
          <w:b/>
          <w:sz w:val="28"/>
        </w:rPr>
        <w:t>（二）具有高尚的爱国主义情操和集体主义精神，社会主义信念坚定，社会责任感强，遵纪守法，积极向上，身心健康。</w:t>
      </w:r>
    </w:p>
    <w:p>
      <w:pPr>
        <w:spacing w:line="360" w:lineRule="auto" w:before="160" w:after="80"/>
        <w:ind w:firstLine="0"/>
        <w:jc w:val="left"/>
      </w:pPr>
      <w:r>
        <w:rPr>
          <w:rFonts w:ascii="Times New Roman" w:hAnsi="Times New Roman" w:eastAsia="宋体"/>
          <w:b/>
          <w:sz w:val="28"/>
        </w:rPr>
        <w:t>（三）前六个学期必修课程学分绩在本专业排名前20%。（若入围学生人数没有达到学校下达名额的上限，该条件可放宽至30%）</w:t>
      </w:r>
    </w:p>
    <w:p>
      <w:pPr>
        <w:spacing w:line="360" w:lineRule="auto" w:before="160" w:after="80"/>
        <w:ind w:firstLine="0"/>
        <w:jc w:val="left"/>
      </w:pPr>
      <w:r>
        <w:rPr>
          <w:rFonts w:ascii="Times New Roman" w:hAnsi="Times New Roman" w:eastAsia="宋体"/>
          <w:b/>
          <w:sz w:val="28"/>
        </w:rPr>
        <w:t>（四）通过大学英语四级考试。</w:t>
      </w:r>
    </w:p>
    <w:p>
      <w:pPr>
        <w:spacing w:line="360" w:lineRule="auto" w:before="160" w:after="80"/>
        <w:ind w:firstLine="0"/>
        <w:jc w:val="left"/>
      </w:pPr>
      <w:r>
        <w:rPr>
          <w:rFonts w:ascii="Times New Roman" w:hAnsi="Times New Roman" w:eastAsia="宋体"/>
          <w:b/>
          <w:sz w:val="28"/>
        </w:rPr>
        <w:t>（五）诚实守信，学风端正，品行表现优良，必修课和专业课均无挂科记录，无任何考试作弊、剽窃他人学术成果、学术造假和违法违纪受处分记录。</w:t>
      </w:r>
    </w:p>
    <w:p>
      <w:pPr>
        <w:spacing w:line="360" w:lineRule="auto" w:before="0" w:after="80"/>
        <w:ind w:firstLine="482"/>
        <w:jc w:val="both"/>
      </w:pPr>
      <w:r>
        <w:rPr>
          <w:rFonts w:ascii="Times New Roman" w:hAnsi="Times New Roman" w:eastAsia="宋体"/>
          <w:b w:val="0"/>
          <w:sz w:val="24"/>
        </w:rPr>
        <w:t>（六）对有特殊学术专长或具有突出培养潜质者，经本校二级教授（或学科带头人）牵头的三名以上（含三名）教授联名推荐，学生有关材料（如获奖证书、论文、发明专利、创新创业比赛、主持大学生创新实验计划等）和教授推荐信经学院公示、学校推免工作领导小组审查同意，可不受上述第三条限制，直接进入推免能力素质测试环节。</w:t>
      </w:r>
    </w:p>
    <w:p>
      <w:pPr>
        <w:spacing w:line="360" w:lineRule="auto" w:before="160" w:after="80"/>
        <w:ind w:firstLine="0"/>
        <w:jc w:val="left"/>
      </w:pPr>
      <w:r>
        <w:rPr>
          <w:rFonts w:ascii="Times New Roman" w:hAnsi="Times New Roman" w:eastAsia="宋体"/>
          <w:b/>
          <w:sz w:val="28"/>
        </w:rPr>
        <w:t>四、名额分配</w:t>
      </w:r>
    </w:p>
    <w:p>
      <w:pPr>
        <w:spacing w:line="360" w:lineRule="auto" w:before="0" w:after="80"/>
        <w:ind w:firstLine="482"/>
        <w:jc w:val="both"/>
      </w:pPr>
      <w:r>
        <w:rPr>
          <w:rFonts w:ascii="Times New Roman" w:hAnsi="Times New Roman" w:eastAsia="宋体"/>
          <w:b w:val="0"/>
          <w:sz w:val="24"/>
        </w:rPr>
        <w:t>推荐指标根据专业学生人数及一流专业等基本情况决定。</w:t>
      </w:r>
    </w:p>
    <w:p>
      <w:pPr>
        <w:spacing w:line="360" w:lineRule="auto" w:before="160" w:after="80"/>
        <w:ind w:firstLine="0"/>
        <w:jc w:val="left"/>
      </w:pPr>
      <w:r>
        <w:rPr>
          <w:rFonts w:ascii="Times New Roman" w:hAnsi="Times New Roman" w:eastAsia="宋体"/>
          <w:b/>
          <w:sz w:val="28"/>
        </w:rPr>
        <w:t>五、计分办法</w:t>
      </w:r>
    </w:p>
    <w:p>
      <w:pPr>
        <w:spacing w:line="360" w:lineRule="auto" w:before="160" w:after="80"/>
        <w:ind w:firstLine="0"/>
        <w:jc w:val="left"/>
      </w:pPr>
      <w:r>
        <w:rPr>
          <w:rFonts w:ascii="Times New Roman" w:hAnsi="Times New Roman" w:eastAsia="宋体"/>
          <w:b/>
          <w:sz w:val="28"/>
        </w:rPr>
        <w:t>（一）综合测评成绩</w:t>
      </w:r>
    </w:p>
    <w:p>
      <w:pPr>
        <w:spacing w:line="360" w:lineRule="auto" w:before="0" w:after="80"/>
        <w:ind w:firstLine="482"/>
        <w:jc w:val="both"/>
      </w:pPr>
      <w:r>
        <w:rPr>
          <w:rFonts w:ascii="Times New Roman" w:hAnsi="Times New Roman" w:eastAsia="宋体"/>
          <w:b w:val="0"/>
          <w:sz w:val="24"/>
        </w:rPr>
        <w:t>推免生综合测评成绩，由课程学习成绩、特殊学术专长或具有突出培养潜质加分构成，计分办法为：</w:t>
      </w:r>
    </w:p>
    <w:p>
      <w:pPr>
        <w:spacing w:line="360" w:lineRule="auto" w:before="0" w:after="80"/>
        <w:ind w:firstLine="482"/>
        <w:jc w:val="both"/>
      </w:pPr>
      <w:r>
        <w:rPr>
          <w:rFonts w:ascii="Times New Roman" w:hAnsi="Times New Roman" w:eastAsia="宋体"/>
          <w:b w:val="0"/>
          <w:sz w:val="24"/>
        </w:rPr>
        <w:t>综合测评成绩=课程学习成绩×90%＋特殊学术专长或具有突出培养潜质加分×10%（计算结果保留两位小数，下同）。</w:t>
      </w:r>
    </w:p>
    <w:p>
      <w:pPr>
        <w:spacing w:line="360" w:lineRule="auto" w:before="160" w:after="80"/>
        <w:ind w:firstLine="0"/>
        <w:jc w:val="left"/>
      </w:pPr>
      <w:r>
        <w:rPr>
          <w:rFonts w:ascii="Times New Roman" w:hAnsi="Times New Roman" w:eastAsia="宋体"/>
          <w:b/>
          <w:sz w:val="28"/>
        </w:rPr>
        <w:t>（二）课程学习成绩</w:t>
      </w:r>
    </w:p>
    <w:p>
      <w:pPr>
        <w:spacing w:line="360" w:lineRule="auto" w:before="0" w:after="80"/>
        <w:ind w:firstLine="482"/>
        <w:jc w:val="both"/>
      </w:pPr>
      <w:r>
        <w:rPr>
          <w:rFonts w:ascii="Times New Roman" w:hAnsi="Times New Roman" w:eastAsia="宋体"/>
          <w:b w:val="0"/>
          <w:sz w:val="24"/>
        </w:rPr>
        <w:t>课程学习成绩以必修课程学分绩来衡量，总分为100分，考核范围为四年制专业前六个学期所有计划内必修课程的考试成绩。</w:t>
      </w:r>
    </w:p>
    <w:p>
      <w:pPr>
        <w:spacing w:line="360" w:lineRule="auto" w:before="0" w:after="80"/>
        <w:ind w:firstLine="482"/>
        <w:jc w:val="both"/>
      </w:pPr>
      <w:r>
        <w:rPr>
          <w:rFonts w:ascii="Times New Roman" w:hAnsi="Times New Roman" w:eastAsia="宋体"/>
          <w:b w:val="0"/>
          <w:sz w:val="24"/>
        </w:rPr>
        <w:t>必修课程学分绩的计分办法为：</w:t>
      </w:r>
    </w:p>
    <w:p>
      <w:pPr>
        <w:spacing w:line="360" w:lineRule="auto" w:before="120" w:after="60"/>
        <w:ind w:firstLine="0"/>
        <w:jc w:val="left"/>
      </w:pPr>
      <w:r>
        <w:rPr>
          <w:rFonts w:ascii="Times New Roman" w:hAnsi="Times New Roman" w:eastAsia="宋体"/>
          <w:b/>
          <w:sz w:val="24"/>
        </w:rPr>
        <w:t>必修课程学分绩=</w:t>
      </w:r>
    </w:p>
    <w:p>
      <w:pPr>
        <w:spacing w:line="360" w:lineRule="auto" w:before="0" w:after="80"/>
        <w:ind w:firstLine="482"/>
        <w:jc w:val="both"/>
      </w:pPr>
      <w:r>
        <w:rPr>
          <w:rFonts w:ascii="Times New Roman" w:hAnsi="Times New Roman" w:eastAsia="宋体"/>
          <w:b w:val="0"/>
          <w:sz w:val="24"/>
        </w:rPr>
        <w:t>注：课程成绩的计算以首次成绩为准。</w:t>
      </w:r>
    </w:p>
    <w:p>
      <w:pPr>
        <w:spacing w:line="360" w:lineRule="auto" w:before="160" w:after="80"/>
        <w:ind w:firstLine="0"/>
        <w:jc w:val="left"/>
      </w:pPr>
      <w:r>
        <w:rPr>
          <w:rFonts w:ascii="Times New Roman" w:hAnsi="Times New Roman" w:eastAsia="宋体"/>
          <w:b/>
          <w:sz w:val="28"/>
        </w:rPr>
        <w:t>（三）特殊学术专长或具有突出培养潜质加分（总分100分）</w:t>
      </w:r>
    </w:p>
    <w:p>
      <w:pPr>
        <w:spacing w:line="360" w:lineRule="auto" w:before="0" w:after="80"/>
        <w:ind w:firstLine="482"/>
        <w:jc w:val="both"/>
      </w:pPr>
      <w:r>
        <w:rPr>
          <w:rFonts w:ascii="Times New Roman" w:hAnsi="Times New Roman" w:eastAsia="宋体"/>
          <w:b w:val="0"/>
          <w:sz w:val="24"/>
        </w:rPr>
        <w:t>特殊学术专长或具有突出培养潜质成绩考核学生除学习成绩外的其他方面,具体赋分如下表：</w:t>
      </w:r>
    </w:p>
    <w:p>
      <w:pPr>
        <w:spacing w:line="360" w:lineRule="auto" w:before="120" w:after="60"/>
        <w:ind w:firstLine="0"/>
        <w:jc w:val="left"/>
      </w:pPr>
      <w:r>
        <w:rPr>
          <w:rFonts w:ascii="Times New Roman" w:hAnsi="Times New Roman" w:eastAsia="宋体"/>
          <w:b/>
          <w:sz w:val="24"/>
        </w:rPr>
        <w:t>学术竞赛类：90分</w:t>
      </w:r>
    </w:p>
    <w:p>
      <w:pPr>
        <w:spacing w:line="360" w:lineRule="auto" w:before="120" w:after="60"/>
        <w:ind w:firstLine="0"/>
        <w:jc w:val="left"/>
      </w:pPr>
      <w:r>
        <w:rPr>
          <w:rFonts w:ascii="Times New Roman" w:hAnsi="Times New Roman" w:eastAsia="宋体"/>
          <w:b/>
          <w:sz w:val="24"/>
        </w:rPr>
        <w:t>其他：10分</w:t>
      </w:r>
    </w:p>
    <w:p>
      <w:pPr>
        <w:spacing w:line="360" w:lineRule="auto" w:before="120" w:after="60"/>
        <w:ind w:firstLine="0"/>
        <w:jc w:val="left"/>
      </w:pPr>
      <w:r>
        <w:rPr>
          <w:rFonts w:ascii="Times New Roman" w:hAnsi="Times New Roman" w:eastAsia="宋体"/>
          <w:b/>
          <w:sz w:val="24"/>
        </w:rPr>
        <w:t>英语</w:t>
      </w:r>
    </w:p>
    <w:p>
      <w:pPr>
        <w:spacing w:line="360" w:lineRule="auto" w:before="120" w:after="60"/>
        <w:ind w:firstLine="0"/>
        <w:jc w:val="left"/>
      </w:pPr>
      <w:r>
        <w:rPr>
          <w:rFonts w:ascii="Times New Roman" w:hAnsi="Times New Roman" w:eastAsia="宋体"/>
          <w:b/>
          <w:sz w:val="24"/>
        </w:rPr>
        <w:t>5分</w:t>
      </w:r>
    </w:p>
    <w:p>
      <w:pPr>
        <w:spacing w:line="360" w:lineRule="auto" w:before="120" w:after="60"/>
        <w:ind w:firstLine="0"/>
        <w:jc w:val="left"/>
      </w:pPr>
      <w:r>
        <w:rPr>
          <w:rFonts w:ascii="Times New Roman" w:hAnsi="Times New Roman" w:eastAsia="宋体"/>
          <w:b/>
          <w:sz w:val="24"/>
        </w:rPr>
        <w:t>学术</w:t>
      </w:r>
    </w:p>
    <w:p>
      <w:pPr>
        <w:spacing w:line="360" w:lineRule="auto" w:before="120" w:after="60"/>
        <w:ind w:firstLine="0"/>
        <w:jc w:val="left"/>
      </w:pPr>
      <w:r>
        <w:rPr>
          <w:rFonts w:ascii="Times New Roman" w:hAnsi="Times New Roman" w:eastAsia="宋体"/>
          <w:b/>
          <w:sz w:val="24"/>
        </w:rPr>
        <w:t>40分</w:t>
      </w:r>
    </w:p>
    <w:p>
      <w:pPr>
        <w:spacing w:line="360" w:lineRule="auto" w:before="120" w:after="60"/>
        <w:ind w:firstLine="0"/>
        <w:jc w:val="left"/>
      </w:pPr>
      <w:r>
        <w:rPr>
          <w:rFonts w:ascii="Times New Roman" w:hAnsi="Times New Roman" w:eastAsia="宋体"/>
          <w:b/>
          <w:sz w:val="24"/>
        </w:rPr>
        <w:t>科技竞赛 20分</w:t>
      </w:r>
    </w:p>
    <w:p>
      <w:pPr>
        <w:spacing w:line="360" w:lineRule="auto" w:before="120" w:after="60"/>
        <w:ind w:firstLine="0"/>
        <w:jc w:val="left"/>
      </w:pPr>
      <w:r>
        <w:rPr>
          <w:rFonts w:ascii="Times New Roman" w:hAnsi="Times New Roman" w:eastAsia="宋体"/>
          <w:b/>
          <w:sz w:val="24"/>
        </w:rPr>
        <w:t>创新创业目25分</w:t>
      </w:r>
    </w:p>
    <w:p>
      <w:pPr>
        <w:spacing w:line="360" w:lineRule="auto" w:before="120" w:after="60"/>
        <w:ind w:firstLine="0"/>
        <w:jc w:val="left"/>
      </w:pPr>
      <w:r>
        <w:rPr>
          <w:rFonts w:ascii="Times New Roman" w:hAnsi="Times New Roman" w:eastAsia="宋体"/>
          <w:b/>
          <w:sz w:val="24"/>
        </w:rPr>
        <w:t>各类表彰</w:t>
      </w:r>
    </w:p>
    <w:p>
      <w:pPr>
        <w:spacing w:line="360" w:lineRule="auto" w:before="120" w:after="60"/>
        <w:ind w:firstLine="0"/>
        <w:jc w:val="left"/>
      </w:pPr>
      <w:r>
        <w:rPr>
          <w:rFonts w:ascii="Times New Roman" w:hAnsi="Times New Roman" w:eastAsia="宋体"/>
          <w:b/>
          <w:sz w:val="24"/>
        </w:rPr>
        <w:t>7分</w:t>
      </w:r>
    </w:p>
    <w:p>
      <w:pPr>
        <w:spacing w:line="360" w:lineRule="auto" w:before="120" w:after="60"/>
        <w:ind w:firstLine="0"/>
        <w:jc w:val="left"/>
      </w:pPr>
      <w:r>
        <w:rPr>
          <w:rFonts w:ascii="Times New Roman" w:hAnsi="Times New Roman" w:eastAsia="宋体"/>
          <w:b/>
          <w:sz w:val="24"/>
        </w:rPr>
        <w:t>社会工作</w:t>
      </w:r>
    </w:p>
    <w:p>
      <w:pPr>
        <w:spacing w:line="360" w:lineRule="auto" w:before="120" w:after="60"/>
        <w:ind w:firstLine="0"/>
        <w:jc w:val="left"/>
      </w:pPr>
      <w:r>
        <w:rPr>
          <w:rFonts w:ascii="Times New Roman" w:hAnsi="Times New Roman" w:eastAsia="宋体"/>
          <w:b/>
          <w:sz w:val="24"/>
        </w:rPr>
        <w:t>3分</w:t>
      </w:r>
    </w:p>
    <w:p>
      <w:pPr>
        <w:spacing w:line="360" w:lineRule="auto" w:before="160" w:after="80"/>
        <w:ind w:firstLine="0"/>
        <w:jc w:val="left"/>
      </w:pPr>
      <w:r>
        <w:rPr>
          <w:rFonts w:ascii="Times New Roman" w:hAnsi="Times New Roman" w:eastAsia="宋体"/>
          <w:b/>
          <w:sz w:val="28"/>
        </w:rPr>
        <w:t>（1）学术竞赛类：</w:t>
      </w:r>
    </w:p>
    <w:p>
      <w:pPr>
        <w:spacing w:line="360" w:lineRule="auto" w:before="120" w:after="60"/>
        <w:ind w:firstLine="0"/>
        <w:jc w:val="left"/>
      </w:pPr>
      <w:r>
        <w:rPr>
          <w:rFonts w:ascii="Times New Roman" w:hAnsi="Times New Roman" w:eastAsia="宋体"/>
          <w:b/>
          <w:sz w:val="24"/>
        </w:rPr>
        <w:t>①通过大学英语六级加分标准</w:t>
      </w:r>
    </w:p>
    <w:p>
      <w:pPr>
        <w:spacing w:line="360" w:lineRule="auto" w:before="0" w:after="80"/>
        <w:ind w:firstLine="482"/>
        <w:jc w:val="both"/>
      </w:pPr>
      <w:r>
        <w:rPr>
          <w:rFonts w:ascii="Times New Roman" w:hAnsi="Times New Roman" w:eastAsia="宋体"/>
          <w:b w:val="0"/>
          <w:sz w:val="24"/>
        </w:rPr>
        <w:t>②学术类材料要求：论文作者要求学生本人为第一作者或导师第一作者本人第二作者，其他作者不加分；所有学术类获奖累计加分不超过40分，论文或专利需要提供相关佐证材料，由学院推免工作小组讨论审核决定。</w:t>
      </w:r>
    </w:p>
    <w:p>
      <w:pPr>
        <w:spacing w:line="360" w:lineRule="auto" w:before="0" w:after="80"/>
        <w:ind w:firstLine="482"/>
        <w:jc w:val="both"/>
      </w:pPr>
      <w:r>
        <w:rPr>
          <w:rFonts w:ascii="Times New Roman" w:hAnsi="Times New Roman" w:eastAsia="宋体"/>
          <w:b w:val="0"/>
          <w:sz w:val="24"/>
        </w:rPr>
        <w:t>具体加分政策如下：</w:t>
      </w:r>
    </w:p>
    <w:p>
      <w:pPr>
        <w:spacing w:line="360" w:lineRule="auto" w:before="0" w:after="80"/>
        <w:ind w:firstLine="482"/>
        <w:jc w:val="both"/>
      </w:pPr>
      <w:r>
        <w:rPr>
          <w:rFonts w:ascii="Times New Roman" w:hAnsi="Times New Roman" w:eastAsia="宋体"/>
          <w:b w:val="0"/>
          <w:sz w:val="24"/>
        </w:rPr>
        <w:t>在公开发行的核心及以上刊物上发表专业相关学术论文加分，加分标准如下：核心以上二类期刊以下学术期刊论文每篇加10分，总计不超过 20 分、 二类及以上期刊每篇加20分，总计不超过 40 分。</w:t>
      </w:r>
    </w:p>
    <w:p>
      <w:pPr>
        <w:spacing w:line="360" w:lineRule="auto" w:before="0" w:after="80"/>
        <w:ind w:firstLine="482"/>
        <w:jc w:val="both"/>
      </w:pPr>
      <w:r>
        <w:rPr>
          <w:rFonts w:ascii="Times New Roman" w:hAnsi="Times New Roman" w:eastAsia="宋体"/>
          <w:b w:val="0"/>
          <w:sz w:val="24"/>
        </w:rPr>
        <w:t>获得国家发明专利的，一项最多加 10 分。每一发明专利具体加分按照专利申请者的贡献度计分，多项累计不超过 20 分。</w:t>
      </w:r>
    </w:p>
    <w:p>
      <w:pPr>
        <w:spacing w:line="360" w:lineRule="auto" w:before="0" w:after="80"/>
        <w:ind w:firstLine="482"/>
        <w:jc w:val="both"/>
      </w:pPr>
      <w:r>
        <w:rPr>
          <w:rFonts w:ascii="Times New Roman" w:hAnsi="Times New Roman" w:eastAsia="宋体"/>
          <w:b w:val="0"/>
          <w:sz w:val="24"/>
        </w:rPr>
        <w:t>③科技竞赛：科技竞赛分为专业类竞赛和非专业类竞赛，专业类竞赛包括：“数学建模”、“数学竞赛”、“物理类竞赛”。赋分标准如下：</w:t>
      </w:r>
    </w:p>
    <w:tbl>
      <w:tblPr>
        <w:tblStyle w:val="TableGrid"/>
        <w:tblW w:type="auto" w:w="0"/>
        <w:tblLook w:firstColumn="1" w:firstRow="1" w:lastColumn="0" w:lastRow="0" w:noHBand="0" w:noVBand="1" w:val="04A0"/>
      </w:tblPr>
      <w:tblGrid>
        <w:gridCol w:w="4317"/>
        <w:gridCol w:w="4317"/>
      </w:tblGrid>
      <w:tr>
        <w:tc>
          <w:tcPr>
            <w:tcW w:type="dxa" w:w="4317"/>
          </w:tcPr>
          <w:p>
            <w:pPr>
              <w:jc w:val="center"/>
            </w:pPr>
            <w:r>
              <w:rPr>
                <w:rFonts w:ascii="Times New Roman" w:hAnsi="Times New Roman" w:eastAsia="宋体"/>
                <w:b/>
                <w:sz w:val="21"/>
              </w:rPr>
              <w:t>作者排位</w:t>
            </w:r>
          </w:p>
        </w:tc>
        <w:tc>
          <w:tcPr>
            <w:tcW w:type="dxa" w:w="4317"/>
          </w:tcPr>
          <w:p>
            <w:pPr>
              <w:jc w:val="center"/>
            </w:pPr>
            <w:r>
              <w:rPr>
                <w:rFonts w:ascii="Times New Roman" w:hAnsi="Times New Roman" w:eastAsia="宋体"/>
                <w:b/>
                <w:sz w:val="21"/>
              </w:rPr>
              <w:t>项目</w:t>
            </w:r>
          </w:p>
        </w:tc>
      </w:tr>
      <w:tr>
        <w:tc>
          <w:tcPr>
            <w:tcW w:type="dxa" w:w="4317"/>
          </w:tcPr>
          <w:p>
            <w:pPr>
              <w:jc w:val="center"/>
            </w:pPr>
            <w:r>
              <w:rPr>
                <w:rFonts w:ascii="Times New Roman" w:hAnsi="Times New Roman" w:eastAsia="宋体"/>
                <w:sz w:val="21"/>
              </w:rPr>
              <w:t>第一位作者</w:t>
            </w:r>
          </w:p>
        </w:tc>
        <w:tc>
          <w:tcPr>
            <w:tcW w:type="dxa" w:w="4317"/>
          </w:tcPr>
          <w:p>
            <w:pPr>
              <w:jc w:val="center"/>
            </w:pPr>
            <w:r>
              <w:rPr>
                <w:rFonts w:ascii="Times New Roman" w:hAnsi="Times New Roman" w:eastAsia="宋体"/>
                <w:sz w:val="21"/>
              </w:rPr>
              <w:t>第二至三位作者</w:t>
            </w:r>
          </w:p>
        </w:tc>
      </w:tr>
      <w:tr>
        <w:tc>
          <w:tcPr>
            <w:tcW w:type="dxa" w:w="4317"/>
          </w:tcPr>
          <w:p>
            <w:pPr>
              <w:jc w:val="center"/>
            </w:pPr>
            <w:r>
              <w:rPr>
                <w:rFonts w:ascii="Times New Roman" w:hAnsi="Times New Roman" w:eastAsia="宋体"/>
                <w:sz w:val="21"/>
              </w:rPr>
              <w:t>国家级</w:t>
            </w:r>
          </w:p>
        </w:tc>
        <w:tc>
          <w:tcPr>
            <w:tcW w:type="dxa" w:w="4317"/>
          </w:tcPr>
          <w:p>
            <w:pPr>
              <w:jc w:val="center"/>
            </w:pPr>
            <w:r>
              <w:rPr>
                <w:rFonts w:ascii="Times New Roman" w:hAnsi="Times New Roman" w:eastAsia="宋体"/>
                <w:sz w:val="21"/>
              </w:rPr>
              <w:t>一等奖</w:t>
            </w:r>
          </w:p>
        </w:tc>
      </w:tr>
      <w:tr>
        <w:tc>
          <w:tcPr>
            <w:tcW w:type="dxa" w:w="4317"/>
          </w:tcPr>
          <w:p>
            <w:pPr>
              <w:jc w:val="center"/>
            </w:pPr>
            <w:r>
              <w:rPr>
                <w:rFonts w:ascii="Times New Roman" w:hAnsi="Times New Roman" w:eastAsia="宋体"/>
                <w:sz w:val="21"/>
              </w:rPr>
              <w:t>10</w:t>
            </w:r>
          </w:p>
        </w:tc>
        <w:tc>
          <w:tcPr>
            <w:tcW w:type="dxa" w:w="4317"/>
          </w:tcPr>
          <w:p>
            <w:pPr>
              <w:jc w:val="center"/>
            </w:pPr>
            <w:r>
              <w:rPr>
                <w:rFonts w:ascii="Times New Roman" w:hAnsi="Times New Roman" w:eastAsia="宋体"/>
                <w:sz w:val="21"/>
              </w:rPr>
              <w:t>5</w:t>
            </w:r>
          </w:p>
        </w:tc>
      </w:tr>
      <w:tr>
        <w:tc>
          <w:tcPr>
            <w:tcW w:type="dxa" w:w="4317"/>
          </w:tcPr>
          <w:p>
            <w:pPr>
              <w:jc w:val="center"/>
            </w:pPr>
            <w:r>
              <w:rPr>
                <w:rFonts w:ascii="Times New Roman" w:hAnsi="Times New Roman" w:eastAsia="宋体"/>
                <w:sz w:val="21"/>
              </w:rPr>
              <w:t>二等奖</w:t>
            </w:r>
          </w:p>
        </w:tc>
        <w:tc>
          <w:tcPr>
            <w:tcW w:type="dxa" w:w="4317"/>
          </w:tcPr>
          <w:p>
            <w:pPr>
              <w:jc w:val="center"/>
            </w:pPr>
            <w:r>
              <w:rPr>
                <w:rFonts w:ascii="Times New Roman" w:hAnsi="Times New Roman" w:eastAsia="宋体"/>
                <w:sz w:val="21"/>
              </w:rPr>
            </w:r>
          </w:p>
        </w:tc>
      </w:tr>
    </w:tbl>
    <w:p/>
    <w:p>
      <w:pPr>
        <w:spacing w:line="360" w:lineRule="auto" w:before="0" w:after="80"/>
        <w:ind w:firstLine="482"/>
        <w:jc w:val="both"/>
      </w:pPr>
      <w:r>
        <w:rPr>
          <w:rFonts w:ascii="Times New Roman" w:hAnsi="Times New Roman" w:eastAsia="宋体"/>
          <w:b w:val="0"/>
          <w:sz w:val="24"/>
        </w:rPr>
        <w:t>7.5</w:t>
      </w:r>
    </w:p>
    <w:p>
      <w:pPr>
        <w:spacing w:line="360" w:lineRule="auto" w:before="0" w:after="80"/>
        <w:ind w:firstLine="482"/>
        <w:jc w:val="both"/>
      </w:pPr>
      <w:r>
        <w:rPr>
          <w:rFonts w:ascii="Times New Roman" w:hAnsi="Times New Roman" w:eastAsia="宋体"/>
          <w:b w:val="0"/>
          <w:sz w:val="24"/>
        </w:rPr>
        <w:t>4</w:t>
      </w:r>
    </w:p>
    <w:p>
      <w:pPr>
        <w:spacing w:line="360" w:lineRule="auto" w:before="120" w:after="60"/>
        <w:ind w:firstLine="0"/>
        <w:jc w:val="left"/>
      </w:pPr>
      <w:r>
        <w:rPr>
          <w:rFonts w:ascii="Times New Roman" w:hAnsi="Times New Roman" w:eastAsia="宋体"/>
          <w:b/>
          <w:sz w:val="24"/>
        </w:rPr>
        <w:t>三等奖</w:t>
      </w:r>
    </w:p>
    <w:p>
      <w:pPr>
        <w:spacing w:line="360" w:lineRule="auto" w:before="0" w:after="80"/>
        <w:ind w:firstLine="482"/>
        <w:jc w:val="both"/>
      </w:pPr>
      <w:r>
        <w:rPr>
          <w:rFonts w:ascii="Times New Roman" w:hAnsi="Times New Roman" w:eastAsia="宋体"/>
          <w:b w:val="0"/>
          <w:sz w:val="24"/>
        </w:rPr>
        <w:t>5</w:t>
      </w:r>
    </w:p>
    <w:p>
      <w:pPr>
        <w:spacing w:line="360" w:lineRule="auto" w:before="0" w:after="80"/>
        <w:ind w:firstLine="482"/>
        <w:jc w:val="both"/>
      </w:pPr>
      <w:r>
        <w:rPr>
          <w:rFonts w:ascii="Times New Roman" w:hAnsi="Times New Roman" w:eastAsia="宋体"/>
          <w:b w:val="0"/>
          <w:sz w:val="24"/>
        </w:rPr>
        <w:t>3</w:t>
      </w:r>
    </w:p>
    <w:p>
      <w:pPr>
        <w:spacing w:line="360" w:lineRule="auto" w:before="120" w:after="60"/>
        <w:ind w:firstLine="0"/>
        <w:jc w:val="left"/>
      </w:pPr>
      <w:r>
        <w:rPr>
          <w:rFonts w:ascii="Times New Roman" w:hAnsi="Times New Roman" w:eastAsia="宋体"/>
          <w:b/>
          <w:sz w:val="24"/>
        </w:rPr>
        <w:t>省级</w:t>
      </w:r>
    </w:p>
    <w:p>
      <w:pPr>
        <w:spacing w:line="360" w:lineRule="auto" w:before="120" w:after="60"/>
        <w:ind w:firstLine="0"/>
        <w:jc w:val="left"/>
      </w:pPr>
      <w:r>
        <w:rPr>
          <w:rFonts w:ascii="Times New Roman" w:hAnsi="Times New Roman" w:eastAsia="宋体"/>
          <w:b/>
          <w:sz w:val="24"/>
        </w:rPr>
        <w:t>一等奖</w:t>
      </w:r>
    </w:p>
    <w:p>
      <w:pPr>
        <w:spacing w:line="360" w:lineRule="auto" w:before="0" w:after="80"/>
        <w:ind w:firstLine="482"/>
        <w:jc w:val="both"/>
      </w:pPr>
      <w:r>
        <w:rPr>
          <w:rFonts w:ascii="Times New Roman" w:hAnsi="Times New Roman" w:eastAsia="宋体"/>
          <w:b w:val="0"/>
          <w:sz w:val="24"/>
        </w:rPr>
        <w:t>5</w:t>
      </w:r>
    </w:p>
    <w:p>
      <w:pPr>
        <w:spacing w:line="360" w:lineRule="auto" w:before="0" w:after="80"/>
        <w:ind w:firstLine="482"/>
        <w:jc w:val="both"/>
      </w:pPr>
      <w:r>
        <w:rPr>
          <w:rFonts w:ascii="Times New Roman" w:hAnsi="Times New Roman" w:eastAsia="宋体"/>
          <w:b w:val="0"/>
          <w:sz w:val="24"/>
        </w:rPr>
        <w:t>3</w:t>
      </w:r>
    </w:p>
    <w:p>
      <w:pPr>
        <w:spacing w:line="360" w:lineRule="auto" w:before="120" w:after="60"/>
        <w:ind w:firstLine="0"/>
        <w:jc w:val="left"/>
      </w:pPr>
      <w:r>
        <w:rPr>
          <w:rFonts w:ascii="Times New Roman" w:hAnsi="Times New Roman" w:eastAsia="宋体"/>
          <w:b/>
          <w:sz w:val="24"/>
        </w:rPr>
        <w:t>二等奖</w:t>
      </w:r>
    </w:p>
    <w:p>
      <w:pPr>
        <w:spacing w:line="360" w:lineRule="auto" w:before="0" w:after="80"/>
        <w:ind w:firstLine="482"/>
        <w:jc w:val="both"/>
      </w:pPr>
      <w:r>
        <w:rPr>
          <w:rFonts w:ascii="Times New Roman" w:hAnsi="Times New Roman" w:eastAsia="宋体"/>
          <w:b w:val="0"/>
          <w:sz w:val="24"/>
        </w:rPr>
        <w:t>2.5</w:t>
      </w:r>
    </w:p>
    <w:p>
      <w:pPr>
        <w:spacing w:line="360" w:lineRule="auto" w:before="0" w:after="80"/>
        <w:ind w:firstLine="482"/>
        <w:jc w:val="both"/>
      </w:pPr>
      <w:r>
        <w:rPr>
          <w:rFonts w:ascii="Times New Roman" w:hAnsi="Times New Roman" w:eastAsia="宋体"/>
          <w:b w:val="0"/>
          <w:sz w:val="24"/>
        </w:rPr>
        <w:t>1.5</w:t>
      </w:r>
    </w:p>
    <w:p>
      <w:pPr>
        <w:spacing w:line="360" w:lineRule="auto" w:before="120" w:after="60"/>
        <w:ind w:firstLine="0"/>
        <w:jc w:val="left"/>
      </w:pPr>
      <w:r>
        <w:rPr>
          <w:rFonts w:ascii="Times New Roman" w:hAnsi="Times New Roman" w:eastAsia="宋体"/>
          <w:b/>
          <w:sz w:val="24"/>
        </w:rPr>
        <w:t>三等奖</w:t>
      </w:r>
    </w:p>
    <w:p>
      <w:pPr>
        <w:spacing w:line="360" w:lineRule="auto" w:before="0" w:after="80"/>
        <w:ind w:firstLine="482"/>
        <w:jc w:val="both"/>
      </w:pPr>
      <w:r>
        <w:rPr>
          <w:rFonts w:ascii="Times New Roman" w:hAnsi="Times New Roman" w:eastAsia="宋体"/>
          <w:b w:val="0"/>
          <w:sz w:val="24"/>
        </w:rPr>
        <w:t>1.5</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注：科技竞赛累计加分不超过20分，同一类项目不累计加分，以最高分计算。非专业类竞赛奖励根据专业类科技竞赛奖励跨层降一级别加分，累加分不超过10分。获奖后出具证书和证明材料，由学院推免工作小组审核确定。</w:t>
      </w:r>
    </w:p>
    <w:p>
      <w:pPr>
        <w:spacing w:line="360" w:lineRule="auto" w:before="0" w:after="80"/>
        <w:ind w:firstLine="482"/>
        <w:jc w:val="both"/>
      </w:pPr>
      <w:r>
        <w:rPr>
          <w:rFonts w:ascii="Times New Roman" w:hAnsi="Times New Roman" w:eastAsia="宋体"/>
          <w:b w:val="0"/>
          <w:sz w:val="24"/>
        </w:rPr>
        <w:t>④创新创业项目：“挑战杯”、“中国国际大学生创新大赛”赋分标准如下：</w:t>
      </w:r>
    </w:p>
    <w:p>
      <w:pPr>
        <w:spacing w:line="360" w:lineRule="auto" w:before="120" w:after="60"/>
        <w:ind w:firstLine="0"/>
        <w:jc w:val="left"/>
      </w:pPr>
      <w:r>
        <w:rPr>
          <w:rFonts w:ascii="Times New Roman" w:hAnsi="Times New Roman" w:eastAsia="宋体"/>
          <w:b/>
          <w:sz w:val="24"/>
        </w:rPr>
        <w:t>作者排位</w:t>
      </w:r>
    </w:p>
    <w:p>
      <w:pPr>
        <w:spacing w:line="360" w:lineRule="auto" w:before="120" w:after="60"/>
        <w:ind w:firstLine="0"/>
        <w:jc w:val="left"/>
      </w:pPr>
      <w:r>
        <w:rPr>
          <w:rFonts w:ascii="Times New Roman" w:hAnsi="Times New Roman" w:eastAsia="宋体"/>
          <w:b/>
          <w:sz w:val="24"/>
        </w:rPr>
        <w:t>项目</w:t>
      </w:r>
    </w:p>
    <w:p>
      <w:pPr>
        <w:spacing w:line="360" w:lineRule="auto" w:before="120" w:after="60"/>
        <w:ind w:firstLine="0"/>
        <w:jc w:val="left"/>
      </w:pPr>
      <w:r>
        <w:rPr>
          <w:rFonts w:ascii="Times New Roman" w:hAnsi="Times New Roman" w:eastAsia="宋体"/>
          <w:b/>
          <w:sz w:val="24"/>
        </w:rPr>
        <w:t>第一位作者</w:t>
      </w:r>
    </w:p>
    <w:p>
      <w:pPr>
        <w:spacing w:line="360" w:lineRule="auto" w:before="120" w:after="60"/>
        <w:ind w:firstLine="0"/>
        <w:jc w:val="left"/>
      </w:pPr>
      <w:r>
        <w:rPr>
          <w:rFonts w:ascii="Times New Roman" w:hAnsi="Times New Roman" w:eastAsia="宋体"/>
          <w:b/>
          <w:sz w:val="24"/>
        </w:rPr>
        <w:t>第二至三位作者</w:t>
      </w:r>
    </w:p>
    <w:p>
      <w:pPr>
        <w:spacing w:line="360" w:lineRule="auto" w:before="120" w:after="60"/>
        <w:ind w:firstLine="0"/>
        <w:jc w:val="left"/>
      </w:pPr>
      <w:r>
        <w:rPr>
          <w:rFonts w:ascii="Times New Roman" w:hAnsi="Times New Roman" w:eastAsia="宋体"/>
          <w:b/>
          <w:sz w:val="24"/>
        </w:rPr>
        <w:t>国家级</w:t>
      </w:r>
    </w:p>
    <w:p>
      <w:pPr>
        <w:spacing w:line="360" w:lineRule="auto" w:before="120" w:after="60"/>
        <w:ind w:firstLine="0"/>
        <w:jc w:val="left"/>
      </w:pPr>
      <w:r>
        <w:rPr>
          <w:rFonts w:ascii="Times New Roman" w:hAnsi="Times New Roman" w:eastAsia="宋体"/>
          <w:b/>
          <w:sz w:val="24"/>
        </w:rPr>
        <w:t>一等奖</w:t>
      </w:r>
    </w:p>
    <w:p>
      <w:pPr>
        <w:spacing w:line="360" w:lineRule="auto" w:before="0" w:after="80"/>
        <w:ind w:firstLine="482"/>
        <w:jc w:val="both"/>
      </w:pPr>
      <w:r>
        <w:rPr>
          <w:rFonts w:ascii="Times New Roman" w:hAnsi="Times New Roman" w:eastAsia="宋体"/>
          <w:b w:val="0"/>
          <w:sz w:val="24"/>
        </w:rPr>
        <w:t>12.5</w:t>
      </w:r>
    </w:p>
    <w:p>
      <w:pPr>
        <w:spacing w:line="360" w:lineRule="auto" w:before="0" w:after="80"/>
        <w:ind w:firstLine="482"/>
        <w:jc w:val="both"/>
      </w:pPr>
      <w:r>
        <w:rPr>
          <w:rFonts w:ascii="Times New Roman" w:hAnsi="Times New Roman" w:eastAsia="宋体"/>
          <w:b w:val="0"/>
          <w:sz w:val="24"/>
        </w:rPr>
        <w:t>5</w:t>
      </w:r>
    </w:p>
    <w:p>
      <w:pPr>
        <w:spacing w:line="360" w:lineRule="auto" w:before="120" w:after="60"/>
        <w:ind w:firstLine="0"/>
        <w:jc w:val="left"/>
      </w:pPr>
      <w:r>
        <w:rPr>
          <w:rFonts w:ascii="Times New Roman" w:hAnsi="Times New Roman" w:eastAsia="宋体"/>
          <w:b/>
          <w:sz w:val="24"/>
        </w:rPr>
        <w:t>二等奖</w:t>
      </w:r>
    </w:p>
    <w:p>
      <w:pPr>
        <w:spacing w:line="360" w:lineRule="auto" w:before="0" w:after="80"/>
        <w:ind w:firstLine="482"/>
        <w:jc w:val="both"/>
      </w:pPr>
      <w:r>
        <w:rPr>
          <w:rFonts w:ascii="Times New Roman" w:hAnsi="Times New Roman" w:eastAsia="宋体"/>
          <w:b w:val="0"/>
          <w:sz w:val="24"/>
        </w:rPr>
        <w:t>7.5</w:t>
      </w:r>
    </w:p>
    <w:p>
      <w:pPr>
        <w:spacing w:line="360" w:lineRule="auto" w:before="0" w:after="80"/>
        <w:ind w:firstLine="482"/>
        <w:jc w:val="both"/>
      </w:pPr>
      <w:r>
        <w:rPr>
          <w:rFonts w:ascii="Times New Roman" w:hAnsi="Times New Roman" w:eastAsia="宋体"/>
          <w:b w:val="0"/>
          <w:sz w:val="24"/>
        </w:rPr>
        <w:t>4</w:t>
      </w:r>
    </w:p>
    <w:p>
      <w:pPr>
        <w:spacing w:line="360" w:lineRule="auto" w:before="120" w:after="60"/>
        <w:ind w:firstLine="0"/>
        <w:jc w:val="left"/>
      </w:pPr>
      <w:r>
        <w:rPr>
          <w:rFonts w:ascii="Times New Roman" w:hAnsi="Times New Roman" w:eastAsia="宋体"/>
          <w:b/>
          <w:sz w:val="24"/>
        </w:rPr>
        <w:t>三等奖</w:t>
      </w:r>
    </w:p>
    <w:p>
      <w:pPr>
        <w:spacing w:line="360" w:lineRule="auto" w:before="0" w:after="80"/>
        <w:ind w:firstLine="482"/>
        <w:jc w:val="both"/>
      </w:pPr>
      <w:r>
        <w:rPr>
          <w:rFonts w:ascii="Times New Roman" w:hAnsi="Times New Roman" w:eastAsia="宋体"/>
          <w:b w:val="0"/>
          <w:sz w:val="24"/>
        </w:rPr>
        <w:t>5</w:t>
      </w:r>
    </w:p>
    <w:p>
      <w:pPr>
        <w:spacing w:line="360" w:lineRule="auto" w:before="0" w:after="80"/>
        <w:ind w:firstLine="482"/>
        <w:jc w:val="both"/>
      </w:pPr>
      <w:r>
        <w:rPr>
          <w:rFonts w:ascii="Times New Roman" w:hAnsi="Times New Roman" w:eastAsia="宋体"/>
          <w:b w:val="0"/>
          <w:sz w:val="24"/>
        </w:rPr>
        <w:t>3</w:t>
      </w:r>
    </w:p>
    <w:p>
      <w:pPr>
        <w:spacing w:line="360" w:lineRule="auto" w:before="120" w:after="60"/>
        <w:ind w:firstLine="0"/>
        <w:jc w:val="left"/>
      </w:pPr>
      <w:r>
        <w:rPr>
          <w:rFonts w:ascii="Times New Roman" w:hAnsi="Times New Roman" w:eastAsia="宋体"/>
          <w:b/>
          <w:sz w:val="24"/>
        </w:rPr>
        <w:t>省级</w:t>
      </w:r>
    </w:p>
    <w:p>
      <w:pPr>
        <w:spacing w:line="360" w:lineRule="auto" w:before="120" w:after="60"/>
        <w:ind w:firstLine="0"/>
        <w:jc w:val="left"/>
      </w:pPr>
      <w:r>
        <w:rPr>
          <w:rFonts w:ascii="Times New Roman" w:hAnsi="Times New Roman" w:eastAsia="宋体"/>
          <w:b/>
          <w:sz w:val="24"/>
        </w:rPr>
        <w:t>一等奖</w:t>
      </w:r>
    </w:p>
    <w:p>
      <w:pPr>
        <w:spacing w:line="360" w:lineRule="auto" w:before="0" w:after="80"/>
        <w:ind w:firstLine="482"/>
        <w:jc w:val="both"/>
      </w:pPr>
      <w:r>
        <w:rPr>
          <w:rFonts w:ascii="Times New Roman" w:hAnsi="Times New Roman" w:eastAsia="宋体"/>
          <w:b w:val="0"/>
          <w:sz w:val="24"/>
        </w:rPr>
        <w:t>5</w:t>
      </w:r>
    </w:p>
    <w:p>
      <w:pPr>
        <w:spacing w:line="360" w:lineRule="auto" w:before="0" w:after="80"/>
        <w:ind w:firstLine="482"/>
        <w:jc w:val="both"/>
      </w:pPr>
      <w:r>
        <w:rPr>
          <w:rFonts w:ascii="Times New Roman" w:hAnsi="Times New Roman" w:eastAsia="宋体"/>
          <w:b w:val="0"/>
          <w:sz w:val="24"/>
        </w:rPr>
        <w:t>3</w:t>
      </w:r>
    </w:p>
    <w:p>
      <w:pPr>
        <w:spacing w:line="360" w:lineRule="auto" w:before="120" w:after="60"/>
        <w:ind w:firstLine="0"/>
        <w:jc w:val="left"/>
      </w:pPr>
      <w:r>
        <w:rPr>
          <w:rFonts w:ascii="Times New Roman" w:hAnsi="Times New Roman" w:eastAsia="宋体"/>
          <w:b/>
          <w:sz w:val="24"/>
        </w:rPr>
        <w:t>二等奖</w:t>
      </w:r>
    </w:p>
    <w:p>
      <w:pPr>
        <w:spacing w:line="360" w:lineRule="auto" w:before="0" w:after="80"/>
        <w:ind w:firstLine="482"/>
        <w:jc w:val="both"/>
      </w:pPr>
      <w:r>
        <w:rPr>
          <w:rFonts w:ascii="Times New Roman" w:hAnsi="Times New Roman" w:eastAsia="宋体"/>
          <w:b w:val="0"/>
          <w:sz w:val="24"/>
        </w:rPr>
        <w:t>2.5</w:t>
      </w:r>
    </w:p>
    <w:p>
      <w:pPr>
        <w:spacing w:line="360" w:lineRule="auto" w:before="0" w:after="80"/>
        <w:ind w:firstLine="482"/>
        <w:jc w:val="both"/>
      </w:pPr>
      <w:r>
        <w:rPr>
          <w:rFonts w:ascii="Times New Roman" w:hAnsi="Times New Roman" w:eastAsia="宋体"/>
          <w:b w:val="0"/>
          <w:sz w:val="24"/>
        </w:rPr>
        <w:t>1.5</w:t>
      </w:r>
    </w:p>
    <w:p>
      <w:pPr>
        <w:spacing w:line="360" w:lineRule="auto" w:before="120" w:after="60"/>
        <w:ind w:firstLine="0"/>
        <w:jc w:val="left"/>
      </w:pPr>
      <w:r>
        <w:rPr>
          <w:rFonts w:ascii="Times New Roman" w:hAnsi="Times New Roman" w:eastAsia="宋体"/>
          <w:b/>
          <w:sz w:val="24"/>
        </w:rPr>
        <w:t>三等奖</w:t>
      </w:r>
    </w:p>
    <w:p>
      <w:pPr>
        <w:spacing w:line="360" w:lineRule="auto" w:before="0" w:after="80"/>
        <w:ind w:firstLine="482"/>
        <w:jc w:val="both"/>
      </w:pPr>
      <w:r>
        <w:rPr>
          <w:rFonts w:ascii="Times New Roman" w:hAnsi="Times New Roman" w:eastAsia="宋体"/>
          <w:b w:val="0"/>
          <w:sz w:val="24"/>
        </w:rPr>
        <w:t>1.5</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注：创新创业项目累加分不超过25分。同一类项目不累计加分，以最高分计算。获奖后出具证书和证明材料，由学院推免工作小组审核确定。</w:t>
      </w:r>
    </w:p>
    <w:p>
      <w:pPr>
        <w:spacing w:line="360" w:lineRule="auto" w:before="160" w:after="80"/>
        <w:ind w:firstLine="0"/>
        <w:jc w:val="left"/>
      </w:pPr>
      <w:r>
        <w:rPr>
          <w:rFonts w:ascii="Times New Roman" w:hAnsi="Times New Roman" w:eastAsia="宋体"/>
          <w:b/>
          <w:sz w:val="28"/>
        </w:rPr>
        <w:t>（2）其他类</w:t>
      </w:r>
    </w:p>
    <w:p>
      <w:pPr>
        <w:spacing w:line="360" w:lineRule="auto" w:before="0" w:after="80"/>
        <w:ind w:firstLine="482"/>
        <w:jc w:val="both"/>
      </w:pPr>
      <w:r>
        <w:rPr>
          <w:rFonts w:ascii="Times New Roman" w:hAnsi="Times New Roman" w:eastAsia="宋体"/>
          <w:b w:val="0"/>
          <w:sz w:val="24"/>
        </w:rPr>
        <w:t>①各类表彰：提供相关佐证材料，由学院推免工作小组讨论研究决定。其中，非学术类获奖或受表彰学生按如下办法加分：</w:t>
      </w:r>
    </w:p>
    <w:tbl>
      <w:tblPr>
        <w:tblStyle w:val="TableGrid"/>
        <w:tblW w:type="auto" w:w="0"/>
        <w:tblLook w:firstColumn="1" w:firstRow="1" w:lastColumn="0" w:lastRow="0" w:noHBand="0" w:noVBand="1" w:val="04A0"/>
      </w:tblPr>
      <w:tblGrid>
        <w:gridCol w:w="4317"/>
        <w:gridCol w:w="4317"/>
      </w:tblGrid>
      <w:tr>
        <w:tc>
          <w:tcPr>
            <w:tcW w:type="dxa" w:w="4317"/>
          </w:tcPr>
          <w:p>
            <w:pPr>
              <w:jc w:val="center"/>
            </w:pPr>
            <w:r>
              <w:rPr>
                <w:rFonts w:ascii="Times New Roman" w:hAnsi="Times New Roman" w:eastAsia="宋体"/>
                <w:b/>
                <w:sz w:val="21"/>
              </w:rPr>
              <w:t>获奖等级</w:t>
            </w:r>
          </w:p>
        </w:tc>
        <w:tc>
          <w:tcPr>
            <w:tcW w:type="dxa" w:w="4317"/>
          </w:tcPr>
          <w:p>
            <w:pPr>
              <w:jc w:val="center"/>
            </w:pPr>
            <w:r>
              <w:rPr>
                <w:rFonts w:ascii="Times New Roman" w:hAnsi="Times New Roman" w:eastAsia="宋体"/>
                <w:b/>
                <w:sz w:val="21"/>
              </w:rPr>
              <w:t>得分</w:t>
            </w:r>
          </w:p>
        </w:tc>
      </w:tr>
      <w:tr>
        <w:tc>
          <w:tcPr>
            <w:tcW w:type="dxa" w:w="4317"/>
          </w:tcPr>
          <w:p>
            <w:pPr>
              <w:jc w:val="center"/>
            </w:pPr>
            <w:r>
              <w:rPr>
                <w:rFonts w:ascii="Times New Roman" w:hAnsi="Times New Roman" w:eastAsia="宋体"/>
                <w:sz w:val="21"/>
              </w:rPr>
              <w:t>国家级</w:t>
            </w:r>
          </w:p>
        </w:tc>
        <w:tc>
          <w:tcPr>
            <w:tcW w:type="dxa" w:w="4317"/>
          </w:tcPr>
          <w:p>
            <w:pPr>
              <w:jc w:val="center"/>
            </w:pPr>
            <w:r>
              <w:rPr>
                <w:rFonts w:ascii="Times New Roman" w:hAnsi="Times New Roman" w:eastAsia="宋体"/>
                <w:sz w:val="21"/>
              </w:rPr>
              <w:t>2</w:t>
            </w:r>
          </w:p>
        </w:tc>
      </w:tr>
      <w:tr>
        <w:tc>
          <w:tcPr>
            <w:tcW w:type="dxa" w:w="4317"/>
          </w:tcPr>
          <w:p>
            <w:pPr>
              <w:jc w:val="center"/>
            </w:pPr>
            <w:r>
              <w:rPr>
                <w:rFonts w:ascii="Times New Roman" w:hAnsi="Times New Roman" w:eastAsia="宋体"/>
                <w:sz w:val="21"/>
              </w:rPr>
              <w:t>省级</w:t>
            </w:r>
          </w:p>
        </w:tc>
        <w:tc>
          <w:tcPr>
            <w:tcW w:type="dxa" w:w="4317"/>
          </w:tcPr>
          <w:p>
            <w:pPr>
              <w:jc w:val="center"/>
            </w:pPr>
            <w:r>
              <w:rPr>
                <w:rFonts w:ascii="Times New Roman" w:hAnsi="Times New Roman" w:eastAsia="宋体"/>
                <w:sz w:val="21"/>
              </w:rPr>
              <w:t>1</w:t>
            </w:r>
          </w:p>
        </w:tc>
      </w:tr>
    </w:tbl>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