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文化旅游学院推荐2026届优秀应届本科毕业生免试攻读硕士研究生工作实施细则</w:t>
      </w:r>
    </w:p>
    <w:p>
      <w:pPr>
        <w:spacing w:line="360" w:lineRule="auto" w:before="0" w:after="80"/>
        <w:ind w:firstLine="482"/>
        <w:jc w:val="both"/>
      </w:pPr>
      <w:r>
        <w:rPr>
          <w:rFonts w:ascii="Times New Roman" w:hAnsi="Times New Roman" w:eastAsia="宋体"/>
          <w:b w:val="0"/>
          <w:sz w:val="24"/>
        </w:rPr>
        <w:t>文化旅游学院推荐2026届优秀应届本科毕业生免试攻读硕士研究生工作实施细则</w:t>
      </w:r>
    </w:p>
    <w:p>
      <w:pPr>
        <w:spacing w:line="360" w:lineRule="auto" w:before="0" w:after="80"/>
        <w:ind w:firstLine="482"/>
        <w:jc w:val="both"/>
      </w:pPr>
      <w:r>
        <w:rPr>
          <w:rFonts w:ascii="Times New Roman" w:hAnsi="Times New Roman" w:eastAsia="宋体"/>
          <w:b w:val="0"/>
          <w:sz w:val="24"/>
        </w:rPr>
        <w:t>根据《广东财经大学推荐优秀应届本科毕业生免试攻读硕士研究生工作管理办法（试行）》（下简称“《办法》”，见附件1），结合我院实际情况，特制定本实施细则。</w:t>
      </w:r>
    </w:p>
    <w:p>
      <w:pPr>
        <w:spacing w:line="360" w:lineRule="auto" w:before="160" w:after="80"/>
        <w:ind w:firstLine="0"/>
        <w:jc w:val="left"/>
      </w:pPr>
      <w:r>
        <w:rPr>
          <w:rFonts w:ascii="Times New Roman" w:hAnsi="Times New Roman" w:eastAsia="宋体"/>
          <w:b/>
          <w:sz w:val="28"/>
        </w:rPr>
        <w:t>一、实施原则</w:t>
      </w:r>
    </w:p>
    <w:p>
      <w:pPr>
        <w:spacing w:line="360" w:lineRule="auto" w:before="0" w:after="80"/>
        <w:ind w:firstLine="482"/>
        <w:jc w:val="both"/>
      </w:pPr>
      <w:r>
        <w:rPr>
          <w:rFonts w:ascii="Times New Roman" w:hAnsi="Times New Roman" w:eastAsia="宋体"/>
          <w:b w:val="0"/>
          <w:sz w:val="24"/>
        </w:rPr>
        <w:t>推免工作坚持“公开、公平、公正”原则，以立德树人为根本，全面衡量学生的德智体美劳，以德为先，突出对学生专业能力、综合素质和创新能力的考查，注重学生一贯学业表现与过程性评价。</w:t>
      </w:r>
    </w:p>
    <w:p>
      <w:pPr>
        <w:spacing w:line="360" w:lineRule="auto" w:before="160" w:after="80"/>
        <w:ind w:firstLine="0"/>
        <w:jc w:val="left"/>
      </w:pPr>
      <w:r>
        <w:rPr>
          <w:rFonts w:ascii="Times New Roman" w:hAnsi="Times New Roman" w:eastAsia="宋体"/>
          <w:b/>
          <w:sz w:val="28"/>
        </w:rPr>
        <w:t>二、推免生推荐条件</w:t>
      </w:r>
    </w:p>
    <w:p>
      <w:pPr>
        <w:spacing w:line="360" w:lineRule="auto" w:before="0" w:after="80"/>
        <w:ind w:firstLine="482"/>
        <w:jc w:val="both"/>
      </w:pPr>
      <w:r>
        <w:rPr>
          <w:rFonts w:ascii="Times New Roman" w:hAnsi="Times New Roman" w:eastAsia="宋体"/>
          <w:b w:val="0"/>
          <w:sz w:val="24"/>
        </w:rPr>
        <w:t>凡符合《办法》第十四条、第十五条要求的，可在规定时间内提出申请。</w:t>
      </w:r>
    </w:p>
    <w:p>
      <w:pPr>
        <w:spacing w:line="360" w:lineRule="auto" w:before="160" w:after="80"/>
        <w:ind w:firstLine="0"/>
        <w:jc w:val="left"/>
      </w:pPr>
      <w:r>
        <w:rPr>
          <w:rFonts w:ascii="Times New Roman" w:hAnsi="Times New Roman" w:eastAsia="宋体"/>
          <w:b/>
          <w:sz w:val="28"/>
        </w:rPr>
        <w:t>三、指标分配</w:t>
      </w:r>
    </w:p>
    <w:p>
      <w:pPr>
        <w:spacing w:line="360" w:lineRule="auto" w:before="0" w:after="80"/>
        <w:ind w:firstLine="482"/>
        <w:jc w:val="both"/>
      </w:pPr>
      <w:r>
        <w:rPr>
          <w:rFonts w:ascii="Times New Roman" w:hAnsi="Times New Roman" w:eastAsia="宋体"/>
          <w:b w:val="0"/>
          <w:sz w:val="24"/>
        </w:rPr>
        <w:t>学院按规定对符合申请资格的学生进行综合评价，根据综合评价成绩（保留小数点后两位）按专业整体由高到低进行排序（如遇同分情况，以优秀学生干部、必修课累计平均学分绩点（百分制）分数、科研潜质成绩、社会服务分数依次进行排名），并按学校下达推免指标数量确定拟推荐名单及20%的候补名单。同时做好全过程记录存档备查。具体名额分配情况如下：</w:t>
      </w:r>
    </w:p>
    <w:p>
      <w:pPr>
        <w:spacing w:line="360" w:lineRule="auto" w:before="120" w:after="60"/>
        <w:ind w:firstLine="0"/>
        <w:jc w:val="left"/>
      </w:pPr>
      <w:r>
        <w:rPr>
          <w:rFonts w:ascii="Times New Roman" w:hAnsi="Times New Roman" w:eastAsia="宋体"/>
          <w:b/>
          <w:sz w:val="24"/>
        </w:rPr>
        <w:t>专业名称</w:t>
      </w:r>
    </w:p>
    <w:p>
      <w:pPr>
        <w:spacing w:line="360" w:lineRule="auto" w:before="120" w:after="60"/>
        <w:ind w:firstLine="0"/>
        <w:jc w:val="left"/>
      </w:pPr>
      <w:r>
        <w:rPr>
          <w:rFonts w:ascii="Times New Roman" w:hAnsi="Times New Roman" w:eastAsia="宋体"/>
          <w:b/>
          <w:sz w:val="24"/>
        </w:rPr>
        <w:t>（以国家专业目录为准）</w:t>
      </w:r>
    </w:p>
    <w:p>
      <w:pPr>
        <w:spacing w:line="360" w:lineRule="auto" w:before="120" w:after="60"/>
        <w:ind w:firstLine="0"/>
        <w:jc w:val="left"/>
      </w:pPr>
      <w:r>
        <w:rPr>
          <w:rFonts w:ascii="Times New Roman" w:hAnsi="Times New Roman" w:eastAsia="宋体"/>
          <w:b/>
          <w:sz w:val="24"/>
        </w:rPr>
        <w:t>拟正式推荐名额</w:t>
      </w:r>
    </w:p>
    <w:p>
      <w:pPr>
        <w:spacing w:line="360" w:lineRule="auto" w:before="120" w:after="60"/>
        <w:ind w:firstLine="0"/>
        <w:jc w:val="left"/>
      </w:pPr>
      <w:r>
        <w:rPr>
          <w:rFonts w:ascii="Times New Roman" w:hAnsi="Times New Roman" w:eastAsia="宋体"/>
          <w:b/>
          <w:sz w:val="24"/>
        </w:rPr>
        <w:t>拟候补推荐名额</w:t>
      </w:r>
    </w:p>
    <w:p>
      <w:pPr>
        <w:spacing w:line="360" w:lineRule="auto" w:before="120" w:after="60"/>
        <w:ind w:firstLine="0"/>
        <w:jc w:val="left"/>
      </w:pPr>
      <w:r>
        <w:rPr>
          <w:rFonts w:ascii="Times New Roman" w:hAnsi="Times New Roman" w:eastAsia="宋体"/>
          <w:b/>
          <w:sz w:val="24"/>
        </w:rPr>
        <w:t>文化产业管理</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1</w:t>
      </w:r>
    </w:p>
    <w:p>
      <w:pPr>
        <w:spacing w:line="360" w:lineRule="auto" w:before="120" w:after="60"/>
        <w:ind w:firstLine="0"/>
        <w:jc w:val="left"/>
      </w:pPr>
      <w:r>
        <w:rPr>
          <w:rFonts w:ascii="Times New Roman" w:hAnsi="Times New Roman" w:eastAsia="宋体"/>
          <w:b/>
          <w:sz w:val="24"/>
        </w:rPr>
        <w:t>旅游管理</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w:t>
      </w:r>
    </w:p>
    <w:p>
      <w:pPr>
        <w:spacing w:line="360" w:lineRule="auto" w:before="120" w:after="60"/>
        <w:ind w:firstLine="0"/>
        <w:jc w:val="left"/>
      </w:pPr>
      <w:r>
        <w:rPr>
          <w:rFonts w:ascii="Times New Roman" w:hAnsi="Times New Roman" w:eastAsia="宋体"/>
          <w:b/>
          <w:sz w:val="24"/>
        </w:rPr>
        <w:t>会展经济与管理</w:t>
      </w:r>
    </w:p>
    <w:p>
      <w:pPr>
        <w:spacing w:line="360" w:lineRule="auto" w:before="0" w:after="80"/>
        <w:ind w:firstLine="482"/>
        <w:jc w:val="both"/>
      </w:pPr>
      <w:r>
        <w:rPr>
          <w:rFonts w:ascii="Times New Roman" w:hAnsi="Times New Roman" w:eastAsia="宋体"/>
          <w:b w:val="0"/>
          <w:sz w:val="24"/>
        </w:rPr>
        <w:t>3</w:t>
      </w:r>
    </w:p>
    <w:p>
      <w:pPr>
        <w:spacing w:line="360" w:lineRule="auto" w:before="0" w:after="80"/>
        <w:ind w:firstLine="482"/>
        <w:jc w:val="both"/>
      </w:pPr>
      <w:r>
        <w:rPr>
          <w:rFonts w:ascii="Times New Roman" w:hAnsi="Times New Roman" w:eastAsia="宋体"/>
          <w:b w:val="0"/>
          <w:sz w:val="24"/>
        </w:rPr>
        <w:t>1</w:t>
      </w:r>
    </w:p>
    <w:p>
      <w:pPr>
        <w:spacing w:line="360" w:lineRule="auto" w:before="120" w:after="60"/>
        <w:ind w:firstLine="0"/>
        <w:jc w:val="left"/>
      </w:pPr>
      <w:r>
        <w:rPr>
          <w:rFonts w:ascii="Times New Roman" w:hAnsi="Times New Roman" w:eastAsia="宋体"/>
          <w:b/>
          <w:sz w:val="24"/>
        </w:rPr>
        <w:t>酒店管理</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w:t>
      </w:r>
    </w:p>
    <w:p>
      <w:pPr>
        <w:spacing w:line="360" w:lineRule="auto" w:before="160" w:after="80"/>
        <w:ind w:firstLine="0"/>
        <w:jc w:val="left"/>
      </w:pPr>
      <w:r>
        <w:rPr>
          <w:rFonts w:ascii="Times New Roman" w:hAnsi="Times New Roman" w:eastAsia="宋体"/>
          <w:b/>
          <w:sz w:val="28"/>
        </w:rPr>
        <w:t>四、推免生遴选综合评价体系</w:t>
      </w:r>
    </w:p>
    <w:p>
      <w:pPr>
        <w:spacing w:line="360" w:lineRule="auto" w:before="0" w:after="80"/>
        <w:ind w:firstLine="482"/>
        <w:jc w:val="both"/>
      </w:pPr>
      <w:r>
        <w:rPr>
          <w:rFonts w:ascii="Times New Roman" w:hAnsi="Times New Roman" w:eastAsia="宋体"/>
          <w:b w:val="0"/>
          <w:sz w:val="24"/>
        </w:rPr>
        <w:t>推免综合评价分=必修课累计平均学分绩点（百分制）×85%+社会服务×5%+科研潜质×10%</w:t>
      </w:r>
    </w:p>
    <w:p>
      <w:pPr>
        <w:spacing w:line="360" w:lineRule="auto" w:before="160" w:after="80"/>
        <w:ind w:firstLine="0"/>
        <w:jc w:val="left"/>
      </w:pPr>
      <w:r>
        <w:rPr>
          <w:rFonts w:ascii="Times New Roman" w:hAnsi="Times New Roman" w:eastAsia="宋体"/>
          <w:b/>
          <w:sz w:val="28"/>
        </w:rPr>
        <w:t>（一）必修课累计平均学分绩点（百分制）以教务系统数据为准。</w:t>
      </w:r>
    </w:p>
    <w:p>
      <w:pPr>
        <w:spacing w:line="360" w:lineRule="auto" w:before="0" w:after="80"/>
        <w:ind w:firstLine="482"/>
        <w:jc w:val="both"/>
      </w:pPr>
      <w:r>
        <w:rPr>
          <w:rFonts w:ascii="Times New Roman" w:hAnsi="Times New Roman" w:eastAsia="宋体"/>
          <w:b w:val="0"/>
          <w:sz w:val="24"/>
        </w:rPr>
        <w:t>（二）社会服务由参军入伍服兵役、参加志愿服务、到国际组织实习三部分构成，最高不超过100分。社会服务清单列表及赋分标准根据学校2026届推免通知及学院实际，具体赋分标准如下：</w:t>
      </w:r>
    </w:p>
    <w:p>
      <w:pPr>
        <w:spacing w:line="360" w:lineRule="auto" w:before="120" w:after="60"/>
        <w:ind w:firstLine="0"/>
        <w:jc w:val="left"/>
      </w:pPr>
      <w:r>
        <w:rPr>
          <w:rFonts w:ascii="Times New Roman" w:hAnsi="Times New Roman" w:eastAsia="宋体"/>
          <w:b/>
          <w:sz w:val="24"/>
        </w:rPr>
        <w:t>表1：社会服务具体清单及赋分标准</w:t>
      </w:r>
    </w:p>
    <w:p>
      <w:pPr>
        <w:spacing w:line="360" w:lineRule="auto" w:before="120" w:after="60"/>
        <w:ind w:firstLine="0"/>
        <w:jc w:val="left"/>
      </w:pPr>
      <w:r>
        <w:rPr>
          <w:rFonts w:ascii="Times New Roman" w:hAnsi="Times New Roman" w:eastAsia="宋体"/>
          <w:b/>
          <w:sz w:val="24"/>
        </w:rPr>
        <w:t>序号</w:t>
      </w:r>
    </w:p>
    <w:p>
      <w:pPr>
        <w:spacing w:line="360" w:lineRule="auto" w:before="120" w:after="60"/>
        <w:ind w:firstLine="0"/>
        <w:jc w:val="left"/>
      </w:pPr>
      <w:r>
        <w:rPr>
          <w:rFonts w:ascii="Times New Roman" w:hAnsi="Times New Roman" w:eastAsia="宋体"/>
          <w:b/>
          <w:sz w:val="24"/>
        </w:rPr>
        <w:t>类别</w:t>
      </w:r>
    </w:p>
    <w:p>
      <w:pPr>
        <w:spacing w:line="360" w:lineRule="auto" w:before="120" w:after="60"/>
        <w:ind w:firstLine="0"/>
        <w:jc w:val="left"/>
      </w:pPr>
      <w:r>
        <w:rPr>
          <w:rFonts w:ascii="Times New Roman" w:hAnsi="Times New Roman" w:eastAsia="宋体"/>
          <w:b/>
          <w:sz w:val="24"/>
        </w:rPr>
        <w:t>具体要求</w:t>
      </w:r>
    </w:p>
    <w:p>
      <w:pPr>
        <w:spacing w:line="360" w:lineRule="auto" w:before="120" w:after="60"/>
        <w:ind w:firstLine="0"/>
        <w:jc w:val="left"/>
      </w:pPr>
      <w:r>
        <w:rPr>
          <w:rFonts w:ascii="Times New Roman" w:hAnsi="Times New Roman" w:eastAsia="宋体"/>
          <w:b/>
          <w:sz w:val="24"/>
        </w:rPr>
        <w:t>赋分标准</w:t>
      </w:r>
    </w:p>
    <w:p>
      <w:pPr>
        <w:spacing w:line="360" w:lineRule="auto" w:before="0" w:after="80"/>
        <w:ind w:firstLine="482"/>
        <w:jc w:val="both"/>
      </w:pPr>
      <w:r>
        <w:rPr>
          <w:rFonts w:ascii="Times New Roman" w:hAnsi="Times New Roman" w:eastAsia="宋体"/>
          <w:b w:val="0"/>
          <w:sz w:val="24"/>
        </w:rPr>
        <w:t>1</w:t>
      </w:r>
    </w:p>
    <w:p>
      <w:pPr>
        <w:spacing w:line="360" w:lineRule="auto" w:before="120" w:after="60"/>
        <w:ind w:firstLine="0"/>
        <w:jc w:val="left"/>
      </w:pPr>
      <w:r>
        <w:rPr>
          <w:rFonts w:ascii="Times New Roman" w:hAnsi="Times New Roman" w:eastAsia="宋体"/>
          <w:b/>
          <w:sz w:val="24"/>
        </w:rPr>
        <w:t>参军入伍服兵役</w:t>
      </w:r>
    </w:p>
    <w:p>
      <w:pPr>
        <w:spacing w:line="360" w:lineRule="auto" w:before="0" w:after="80"/>
        <w:ind w:firstLine="482"/>
        <w:jc w:val="both"/>
      </w:pPr>
      <w:r>
        <w:rPr>
          <w:rFonts w:ascii="Times New Roman" w:hAnsi="Times New Roman" w:eastAsia="宋体"/>
          <w:b w:val="0"/>
          <w:sz w:val="24"/>
        </w:rPr>
        <w:t>100</w:t>
      </w:r>
    </w:p>
    <w:p>
      <w:pPr>
        <w:spacing w:line="360" w:lineRule="auto" w:before="0" w:after="80"/>
        <w:ind w:firstLine="482"/>
        <w:jc w:val="both"/>
      </w:pPr>
      <w:r>
        <w:rPr>
          <w:rFonts w:ascii="Times New Roman" w:hAnsi="Times New Roman" w:eastAsia="宋体"/>
          <w:b w:val="0"/>
          <w:sz w:val="24"/>
        </w:rPr>
        <w:t>说明：符合对应要求，按左栏赋分标准执行，否则赋分为0。</w:t>
      </w:r>
    </w:p>
    <w:p>
      <w:pPr>
        <w:spacing w:line="360" w:lineRule="auto" w:before="0" w:after="80"/>
        <w:ind w:firstLine="482"/>
        <w:jc w:val="both"/>
      </w:pPr>
      <w:r>
        <w:rPr>
          <w:rFonts w:ascii="Times New Roman" w:hAnsi="Times New Roman" w:eastAsia="宋体"/>
          <w:b w:val="0"/>
          <w:sz w:val="24"/>
        </w:rPr>
        <w:t>2</w:t>
      </w:r>
    </w:p>
    <w:p>
      <w:pPr>
        <w:spacing w:line="360" w:lineRule="auto" w:before="120" w:after="60"/>
        <w:ind w:firstLine="0"/>
        <w:jc w:val="left"/>
      </w:pPr>
      <w:r>
        <w:rPr>
          <w:rFonts w:ascii="Times New Roman" w:hAnsi="Times New Roman" w:eastAsia="宋体"/>
          <w:b/>
          <w:sz w:val="24"/>
        </w:rPr>
        <w:t>志愿服务</w:t>
      </w:r>
    </w:p>
    <w:p>
      <w:pPr>
        <w:spacing w:line="360" w:lineRule="auto" w:before="0" w:after="80"/>
        <w:ind w:firstLine="482"/>
        <w:jc w:val="both"/>
      </w:pPr>
      <w:r>
        <w:rPr>
          <w:rFonts w:ascii="Times New Roman" w:hAnsi="Times New Roman" w:eastAsia="宋体"/>
          <w:b w:val="0"/>
          <w:sz w:val="24"/>
        </w:rPr>
        <w:t>本科阶段参加志愿服务总时长达到600小时（以“i志愿”系统记录为准）</w:t>
      </w:r>
    </w:p>
    <w:p>
      <w:pPr>
        <w:spacing w:line="360" w:lineRule="auto" w:before="0" w:after="80"/>
        <w:ind w:firstLine="482"/>
        <w:jc w:val="both"/>
      </w:pPr>
      <w:r>
        <w:rPr>
          <w:rFonts w:ascii="Times New Roman" w:hAnsi="Times New Roman" w:eastAsia="宋体"/>
          <w:b w:val="0"/>
          <w:sz w:val="24"/>
        </w:rPr>
        <w:t>50</w:t>
      </w:r>
    </w:p>
    <w:p>
      <w:pPr>
        <w:spacing w:line="360" w:lineRule="auto" w:before="0" w:after="80"/>
        <w:ind w:firstLine="482"/>
        <w:jc w:val="both"/>
      </w:pPr>
      <w:r>
        <w:rPr>
          <w:rFonts w:ascii="Times New Roman" w:hAnsi="Times New Roman" w:eastAsia="宋体"/>
          <w:b w:val="0"/>
          <w:sz w:val="24"/>
        </w:rPr>
        <w:t>3</w:t>
      </w:r>
    </w:p>
    <w:p>
      <w:pPr>
        <w:spacing w:line="360" w:lineRule="auto" w:before="120" w:after="60"/>
        <w:ind w:firstLine="0"/>
        <w:jc w:val="left"/>
      </w:pPr>
      <w:r>
        <w:rPr>
          <w:rFonts w:ascii="Times New Roman" w:hAnsi="Times New Roman" w:eastAsia="宋体"/>
          <w:b/>
          <w:sz w:val="24"/>
        </w:rPr>
        <w:t>到国际组织实习</w:t>
      </w:r>
    </w:p>
    <w:p>
      <w:pPr>
        <w:spacing w:line="360" w:lineRule="auto" w:before="0" w:after="80"/>
        <w:ind w:firstLine="482"/>
        <w:jc w:val="both"/>
      </w:pPr>
      <w:r>
        <w:rPr>
          <w:rFonts w:ascii="Times New Roman" w:hAnsi="Times New Roman" w:eastAsia="宋体"/>
          <w:b w:val="0"/>
          <w:sz w:val="24"/>
        </w:rPr>
        <w:t>本科阶段到主要的政府间国际组织和具有重要影响力的非政府间国际组织实习（符合要求的国际组织名单参照国家留学基金委重点资助国际组织名单（查询网址：https://gj.ncss.cn/gjzzjs.html；</w:t>
      </w:r>
    </w:p>
    <w:p>
      <w:pPr>
        <w:spacing w:line="360" w:lineRule="auto" w:before="0" w:after="80"/>
        <w:ind w:firstLine="482"/>
        <w:jc w:val="both"/>
      </w:pPr>
      <w:r>
        <w:rPr>
          <w:rFonts w:ascii="Times New Roman" w:hAnsi="Times New Roman" w:eastAsia="宋体"/>
          <w:b w:val="0"/>
          <w:sz w:val="24"/>
        </w:rPr>
        <w:t>实习地点为海外的国际组织总部及总部外机构办事处等；</w:t>
      </w:r>
    </w:p>
    <w:p>
      <w:pPr>
        <w:spacing w:line="360" w:lineRule="auto" w:before="0" w:after="80"/>
        <w:ind w:firstLine="482"/>
        <w:jc w:val="both"/>
      </w:pPr>
      <w:r>
        <w:rPr>
          <w:rFonts w:ascii="Times New Roman" w:hAnsi="Times New Roman" w:eastAsia="宋体"/>
          <w:b w:val="0"/>
          <w:sz w:val="24"/>
        </w:rPr>
        <w:t>申请推免时已完成不少于三个月的实习工作(以国际组织实习录用函、实习证明为准)；</w:t>
      </w:r>
    </w:p>
    <w:p>
      <w:pPr>
        <w:spacing w:line="360" w:lineRule="auto" w:before="0" w:after="80"/>
        <w:ind w:firstLine="482"/>
        <w:jc w:val="both"/>
      </w:pPr>
      <w:r>
        <w:rPr>
          <w:rFonts w:ascii="Times New Roman" w:hAnsi="Times New Roman" w:eastAsia="宋体"/>
          <w:b w:val="0"/>
          <w:sz w:val="24"/>
        </w:rPr>
        <w:t>实习前已在学校备案；</w:t>
      </w:r>
    </w:p>
    <w:p>
      <w:pPr>
        <w:spacing w:line="360" w:lineRule="auto" w:before="0" w:after="80"/>
        <w:ind w:firstLine="482"/>
        <w:jc w:val="both"/>
      </w:pPr>
      <w:r>
        <w:rPr>
          <w:rFonts w:ascii="Times New Roman" w:hAnsi="Times New Roman" w:eastAsia="宋体"/>
          <w:b w:val="0"/>
          <w:sz w:val="24"/>
        </w:rPr>
        <w:t>如参加多个项目，只取其中一项。</w:t>
      </w:r>
    </w:p>
    <w:p>
      <w:pPr>
        <w:spacing w:line="360" w:lineRule="auto" w:before="0" w:after="80"/>
        <w:ind w:firstLine="482"/>
        <w:jc w:val="both"/>
      </w:pPr>
      <w:r>
        <w:rPr>
          <w:rFonts w:ascii="Times New Roman" w:hAnsi="Times New Roman" w:eastAsia="宋体"/>
          <w:b w:val="0"/>
          <w:sz w:val="24"/>
        </w:rPr>
        <w:t>50</w:t>
      </w:r>
    </w:p>
    <w:p>
      <w:pPr>
        <w:spacing w:line="360" w:lineRule="auto" w:before="160" w:after="80"/>
        <w:ind w:firstLine="0"/>
        <w:jc w:val="left"/>
      </w:pPr>
      <w:r>
        <w:rPr>
          <w:rFonts w:ascii="Times New Roman" w:hAnsi="Times New Roman" w:eastAsia="宋体"/>
          <w:b/>
          <w:sz w:val="28"/>
        </w:rPr>
        <w:t>（三）科研潜质由竞赛获奖和科研成果两部分构成，最高不超过100分。</w:t>
      </w:r>
    </w:p>
    <w:p>
      <w:pPr>
        <w:spacing w:line="360" w:lineRule="auto" w:before="0" w:after="80"/>
        <w:ind w:firstLine="482"/>
        <w:jc w:val="both"/>
      </w:pPr>
      <w:r>
        <w:rPr>
          <w:rFonts w:ascii="Times New Roman" w:hAnsi="Times New Roman" w:eastAsia="宋体"/>
          <w:b w:val="0"/>
          <w:sz w:val="24"/>
        </w:rPr>
        <w:t>1.竞赛获奖赋分。获得《广东财经大学课外竞赛项目一览表》中的A1竞赛三等奖（铜奖）及以上级别奖项的个人或团体的主力队员前三名（以获奖证书排名为准），竞赛获奖清单列表及赋分标准根据学校2026届推免通知及学院实际，赋分标准如下：</w:t>
      </w:r>
    </w:p>
    <w:p>
      <w:pPr>
        <w:spacing w:line="360" w:lineRule="auto" w:before="120" w:after="60"/>
        <w:ind w:firstLine="0"/>
        <w:jc w:val="left"/>
      </w:pPr>
      <w:r>
        <w:rPr>
          <w:rFonts w:ascii="Times New Roman" w:hAnsi="Times New Roman" w:eastAsia="宋体"/>
          <w:b/>
          <w:sz w:val="24"/>
        </w:rPr>
        <w:t>表2：竞赛获奖具体清单及赋分标准</w:t>
      </w:r>
    </w:p>
    <w:p>
      <w:pPr>
        <w:spacing w:line="360" w:lineRule="auto" w:before="120" w:after="60"/>
        <w:ind w:firstLine="0"/>
        <w:jc w:val="left"/>
      </w:pPr>
      <w:r>
        <w:rPr>
          <w:rFonts w:ascii="Times New Roman" w:hAnsi="Times New Roman" w:eastAsia="宋体"/>
          <w:b/>
          <w:sz w:val="24"/>
        </w:rPr>
        <w:t>序号</w:t>
      </w:r>
    </w:p>
    <w:p>
      <w:pPr>
        <w:spacing w:line="360" w:lineRule="auto" w:before="120" w:after="60"/>
        <w:ind w:firstLine="0"/>
        <w:jc w:val="left"/>
      </w:pPr>
      <w:r>
        <w:rPr>
          <w:rFonts w:ascii="Times New Roman" w:hAnsi="Times New Roman" w:eastAsia="宋体"/>
          <w:b/>
          <w:sz w:val="24"/>
        </w:rPr>
        <w:t>竞赛名称</w:t>
      </w:r>
    </w:p>
    <w:p>
      <w:pPr>
        <w:spacing w:line="360" w:lineRule="auto" w:before="120" w:after="60"/>
        <w:ind w:firstLine="0"/>
        <w:jc w:val="left"/>
      </w:pPr>
      <w:r>
        <w:rPr>
          <w:rFonts w:ascii="Times New Roman" w:hAnsi="Times New Roman" w:eastAsia="宋体"/>
          <w:b/>
          <w:sz w:val="24"/>
        </w:rPr>
        <w:t>赋分标准</w:t>
      </w:r>
    </w:p>
    <w:p>
      <w:pPr>
        <w:spacing w:line="360" w:lineRule="auto" w:before="0" w:after="80"/>
        <w:ind w:firstLine="482"/>
        <w:jc w:val="both"/>
      </w:pPr>
      <w:r>
        <w:rPr>
          <w:rFonts w:ascii="Times New Roman" w:hAnsi="Times New Roman" w:eastAsia="宋体"/>
          <w:b w:val="0"/>
          <w:sz w:val="24"/>
        </w:rPr>
        <w:t>1</w:t>
      </w:r>
    </w:p>
    <w:p>
      <w:pPr>
        <w:spacing w:line="360" w:lineRule="auto" w:before="120" w:after="60"/>
        <w:ind w:firstLine="0"/>
        <w:jc w:val="left"/>
      </w:pPr>
      <w:r>
        <w:rPr>
          <w:rFonts w:ascii="Times New Roman" w:hAnsi="Times New Roman" w:eastAsia="宋体"/>
          <w:b/>
          <w:sz w:val="24"/>
        </w:rPr>
        <w:t>中国国际大学生创新大赛</w:t>
      </w:r>
    </w:p>
    <w:p>
      <w:pPr>
        <w:spacing w:line="360" w:lineRule="auto" w:before="120" w:after="60"/>
        <w:ind w:firstLine="0"/>
        <w:jc w:val="left"/>
      </w:pPr>
      <w:r>
        <w:rPr>
          <w:rFonts w:ascii="Times New Roman" w:hAnsi="Times New Roman" w:eastAsia="宋体"/>
          <w:b/>
          <w:sz w:val="24"/>
        </w:rPr>
        <w:t>金奖</w:t>
      </w:r>
    </w:p>
    <w:p>
      <w:pPr>
        <w:spacing w:line="360" w:lineRule="auto" w:before="0" w:after="80"/>
        <w:ind w:firstLine="482"/>
        <w:jc w:val="both"/>
      </w:pPr>
      <w:r>
        <w:rPr>
          <w:rFonts w:ascii="Times New Roman" w:hAnsi="Times New Roman" w:eastAsia="宋体"/>
          <w:b w:val="0"/>
          <w:sz w:val="24"/>
        </w:rPr>
        <w:t>100</w:t>
      </w:r>
    </w:p>
    <w:p>
      <w:pPr>
        <w:spacing w:line="360" w:lineRule="auto" w:before="120" w:after="60"/>
        <w:ind w:firstLine="0"/>
        <w:jc w:val="left"/>
      </w:pPr>
      <w:r>
        <w:rPr>
          <w:rFonts w:ascii="Times New Roman" w:hAnsi="Times New Roman" w:eastAsia="宋体"/>
          <w:b/>
          <w:sz w:val="24"/>
        </w:rPr>
        <w:t>银奖</w:t>
      </w:r>
    </w:p>
    <w:p>
      <w:pPr>
        <w:spacing w:line="360" w:lineRule="auto" w:before="0" w:after="80"/>
        <w:ind w:firstLine="482"/>
        <w:jc w:val="both"/>
      </w:pPr>
      <w:r>
        <w:rPr>
          <w:rFonts w:ascii="Times New Roman" w:hAnsi="Times New Roman" w:eastAsia="宋体"/>
          <w:b w:val="0"/>
          <w:sz w:val="24"/>
        </w:rPr>
        <w:t>95</w:t>
      </w:r>
    </w:p>
    <w:p>
      <w:pPr>
        <w:spacing w:line="360" w:lineRule="auto" w:before="120" w:after="60"/>
        <w:ind w:firstLine="0"/>
        <w:jc w:val="left"/>
      </w:pPr>
      <w:r>
        <w:rPr>
          <w:rFonts w:ascii="Times New Roman" w:hAnsi="Times New Roman" w:eastAsia="宋体"/>
          <w:b/>
          <w:sz w:val="24"/>
        </w:rPr>
        <w:t>铜奖</w:t>
      </w:r>
    </w:p>
    <w:p>
      <w:pPr>
        <w:spacing w:line="360" w:lineRule="auto" w:before="0" w:after="80"/>
        <w:ind w:firstLine="482"/>
        <w:jc w:val="both"/>
      </w:pPr>
      <w:r>
        <w:rPr>
          <w:rFonts w:ascii="Times New Roman" w:hAnsi="Times New Roman" w:eastAsia="宋体"/>
          <w:b w:val="0"/>
          <w:sz w:val="24"/>
        </w:rPr>
        <w:t>90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