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化学与化工学院2026年推荐优秀应届本科毕业生免试攻读研究生工作课程认定及成绩计算细则</w:t>
      </w:r>
    </w:p>
    <w:p>
      <w:pPr>
        <w:spacing w:after="80" w:lineRule="auto" w:line="360"/>
        <w:ind w:firstLine="482"/>
        <w:jc w:val="both"/>
      </w:pPr>
      <w:r>
        <w:rPr>
          <w:rFonts w:ascii="Times New Roman" w:hAnsi="Times New Roman" w:eastAsia="宋体"/>
          <w:b w:val="0"/>
          <w:sz w:val="24"/>
        </w:rPr>
        <w:t>化学与化工学院2026年推荐优秀应届本科毕业生免试攻读研究生工作课程认定及成绩计算细则</w:t>
      </w:r>
    </w:p>
    <w:p>
      <w:pPr>
        <w:spacing w:after="80" w:lineRule="auto" w:line="360"/>
        <w:ind w:firstLine="482"/>
        <w:jc w:val="both"/>
      </w:pPr>
      <w:r>
        <w:rPr>
          <w:rFonts w:ascii="Times New Roman" w:hAnsi="Times New Roman" w:eastAsia="宋体"/>
          <w:b w:val="0"/>
          <w:sz w:val="24"/>
        </w:rPr>
        <w:t>发布日期（推定）：2025年8月13日</w:t>
      </w:r>
    </w:p>
    <w:p>
      <w:pPr>
        <w:spacing w:before="160" w:after="80" w:lineRule="auto" w:line="360"/>
        <w:jc w:val="left"/>
      </w:pPr>
      <w:r>
        <w:rPr>
          <w:rFonts w:ascii="Times New Roman" w:hAnsi="Times New Roman" w:eastAsia="宋体"/>
          <w:b/>
          <w:sz w:val="28"/>
        </w:rPr>
        <w:t>一、实施范围</w:t>
      </w:r>
    </w:p>
    <w:p>
      <w:pPr>
        <w:spacing w:after="80" w:lineRule="auto" w:line="360"/>
        <w:ind w:firstLine="482"/>
        <w:jc w:val="both"/>
      </w:pPr>
      <w:r>
        <w:rPr>
          <w:rFonts w:ascii="Times New Roman" w:hAnsi="Times New Roman" w:eastAsia="宋体"/>
          <w:b w:val="0"/>
          <w:sz w:val="24"/>
        </w:rPr>
        <w:t>1. 面向2026年毕业的全日制在籍本科生。</w:t>
      </w:r>
    </w:p>
    <w:p>
      <w:pPr>
        <w:spacing w:before="160" w:after="80" w:lineRule="auto" w:line="360"/>
        <w:jc w:val="left"/>
      </w:pPr>
      <w:r>
        <w:rPr>
          <w:rFonts w:ascii="Times New Roman" w:hAnsi="Times New Roman" w:eastAsia="宋体"/>
          <w:b/>
          <w:sz w:val="28"/>
        </w:rPr>
        <w:t>二、推免工作“课程认定及成绩计算细则”工作组</w:t>
      </w:r>
    </w:p>
    <w:p>
      <w:pPr>
        <w:spacing w:after="80" w:lineRule="auto" w:line="360"/>
        <w:ind w:firstLine="482"/>
        <w:jc w:val="both"/>
      </w:pPr>
      <w:r>
        <w:rPr>
          <w:rFonts w:ascii="Times New Roman" w:hAnsi="Times New Roman" w:eastAsia="宋体"/>
          <w:b w:val="0"/>
          <w:sz w:val="24"/>
        </w:rPr>
        <w:t>1. 组长：邱丽莉、王一飞</w:t>
      </w:r>
    </w:p>
    <w:p>
      <w:pPr>
        <w:spacing w:after="80" w:lineRule="auto" w:line="360"/>
        <w:ind w:firstLine="482"/>
        <w:jc w:val="both"/>
      </w:pPr>
      <w:r>
        <w:rPr>
          <w:rFonts w:ascii="Times New Roman" w:hAnsi="Times New Roman" w:eastAsia="宋体"/>
          <w:b w:val="0"/>
          <w:sz w:val="24"/>
        </w:rPr>
        <w:t>2. 成员：支俊格、孙克宁、张加涛、黎汉生、陈甫雪、李全松、孙旺、张志攀</w:t>
      </w:r>
    </w:p>
    <w:p>
      <w:pPr>
        <w:spacing w:before="160" w:after="80" w:lineRule="auto" w:line="360"/>
        <w:jc w:val="left"/>
      </w:pPr>
      <w:r>
        <w:rPr>
          <w:rFonts w:ascii="Times New Roman" w:hAnsi="Times New Roman" w:eastAsia="宋体"/>
          <w:b/>
          <w:sz w:val="28"/>
        </w:rPr>
        <w:t>三、成绩计算细则</w:t>
      </w:r>
    </w:p>
    <w:p>
      <w:pPr>
        <w:spacing w:after="80" w:lineRule="auto" w:line="360"/>
        <w:ind w:firstLine="482"/>
        <w:jc w:val="both"/>
      </w:pPr>
      <w:r>
        <w:rPr>
          <w:rFonts w:ascii="Times New Roman" w:hAnsi="Times New Roman" w:eastAsia="宋体"/>
          <w:b w:val="0"/>
          <w:sz w:val="24"/>
        </w:rPr>
        <w:t>1. 成绩统计范围：原则上前6学期所学全部课程。</w:t>
      </w:r>
    </w:p>
    <w:p>
      <w:pPr>
        <w:spacing w:after="80" w:lineRule="auto" w:line="360"/>
        <w:ind w:firstLine="482"/>
        <w:jc w:val="both"/>
      </w:pPr>
      <w:r>
        <w:rPr>
          <w:rFonts w:ascii="Times New Roman" w:hAnsi="Times New Roman" w:eastAsia="宋体"/>
          <w:b w:val="0"/>
          <w:sz w:val="24"/>
        </w:rPr>
        <w:t>2. 计算公式：平均学分绩为各课程学分与成绩加权求和后除以总学分，按百分制计算。</w:t>
      </w:r>
    </w:p>
    <w:p>
      <w:pPr>
        <w:spacing w:after="80" w:lineRule="auto" w:line="360"/>
        <w:ind w:firstLine="482"/>
        <w:jc w:val="both"/>
      </w:pPr>
      <w:r>
        <w:rPr>
          <w:rFonts w:ascii="Times New Roman" w:hAnsi="Times New Roman" w:eastAsia="宋体"/>
          <w:b w:val="0"/>
          <w:sz w:val="24"/>
        </w:rPr>
        <w:t>3. 成绩折算：课程成绩评定为优、良、中、及格（通过）、不及格（不通过）时，分别折算为95分、85分、75分、65分、0分计算平均学分绩。</w:t>
      </w:r>
    </w:p>
    <w:p>
      <w:pPr>
        <w:spacing w:after="80" w:lineRule="auto" w:line="360"/>
        <w:ind w:firstLine="482"/>
        <w:jc w:val="both"/>
      </w:pPr>
      <w:r>
        <w:rPr>
          <w:rFonts w:ascii="Times New Roman" w:hAnsi="Times New Roman" w:eastAsia="宋体"/>
          <w:b w:val="0"/>
          <w:sz w:val="24"/>
        </w:rPr>
        <w:t>4. 有效课程：</w:t>
      </w:r>
    </w:p>
    <w:p>
      <w:pPr>
        <w:spacing w:after="80" w:lineRule="auto" w:line="360"/>
        <w:ind w:firstLine="482"/>
        <w:jc w:val="both"/>
      </w:pPr>
      <w:r>
        <w:rPr>
          <w:rFonts w:ascii="Times New Roman" w:hAnsi="Times New Roman" w:eastAsia="宋体"/>
          <w:b w:val="0"/>
          <w:sz w:val="24"/>
        </w:rPr>
        <w:t>（1）纳入计算的课程均取第一次正常考试成绩参与计算；必修课、选修课不及格成绩按0分计算。</w:t>
      </w:r>
    </w:p>
    <w:p>
      <w:pPr>
        <w:spacing w:after="80" w:lineRule="auto" w:line="360"/>
        <w:ind w:firstLine="482"/>
        <w:jc w:val="both"/>
      </w:pPr>
      <w:r>
        <w:rPr>
          <w:rFonts w:ascii="Times New Roman" w:hAnsi="Times New Roman" w:eastAsia="宋体"/>
          <w:b w:val="0"/>
          <w:sz w:val="24"/>
        </w:rPr>
        <w:t>（2）国家大学英语四级成绩、部分限选课、部分选修课、部分校公选课（文化素质通识课、实践训练通识课、公共艺术通识课、拓展英语）、部分实践周课程不参与平均学分绩的计算。</w:t>
      </w:r>
    </w:p>
    <w:p>
      <w:pPr>
        <w:spacing w:after="80" w:lineRule="auto" w:line="360"/>
        <w:ind w:firstLine="482"/>
        <w:jc w:val="both"/>
      </w:pPr>
      <w:r>
        <w:rPr>
          <w:rFonts w:ascii="Times New Roman" w:hAnsi="Times New Roman" w:eastAsia="宋体"/>
          <w:b w:val="0"/>
          <w:sz w:val="24"/>
        </w:rPr>
        <w:t>（3）学生参加交流学习期间所获得的学分不参与计算。</w:t>
      </w:r>
    </w:p>
    <w:p>
      <w:pPr>
        <w:spacing w:after="80" w:lineRule="auto" w:line="360"/>
        <w:ind w:firstLine="482"/>
        <w:jc w:val="both"/>
      </w:pPr>
      <w:r>
        <w:rPr>
          <w:rFonts w:ascii="Times New Roman" w:hAnsi="Times New Roman" w:eastAsia="宋体"/>
          <w:b w:val="0"/>
          <w:sz w:val="24"/>
        </w:rPr>
        <w:t>5. 其他说明：</w:t>
      </w:r>
    </w:p>
    <w:p>
      <w:pPr>
        <w:spacing w:after="80" w:lineRule="auto" w:line="360"/>
        <w:ind w:firstLine="482"/>
        <w:jc w:val="both"/>
      </w:pPr>
      <w:r>
        <w:rPr>
          <w:rFonts w:ascii="Times New Roman" w:hAnsi="Times New Roman" w:eastAsia="宋体"/>
          <w:b w:val="0"/>
          <w:sz w:val="24"/>
        </w:rPr>
        <w:t>（1）数学/物理/思政限选课类等多选一课程，课程学分和成绩按照学生所修的课程计算。</w:t>
      </w:r>
    </w:p>
    <w:p>
      <w:pPr>
        <w:spacing w:after="80" w:lineRule="auto" w:line="360"/>
        <w:ind w:firstLine="482"/>
        <w:jc w:val="both"/>
      </w:pPr>
      <w:r>
        <w:rPr>
          <w:rFonts w:ascii="Times New Roman" w:hAnsi="Times New Roman" w:eastAsia="宋体"/>
          <w:b w:val="0"/>
          <w:sz w:val="24"/>
        </w:rPr>
        <w:t>（2）学籍变动（降级、休学、转专业等）学生的课程，可替换课程的成绩作为有效成绩（多门课程替换一门的，以多门课程成绩平均值作为计算成绩），学分转换为相同学分；不纳入计算的课程，如是必修/专业选修课，不及格算挂科，但不参与成绩计算。</w:t>
      </w:r>
    </w:p>
    <w:p>
      <w:pPr>
        <w:spacing w:after="80" w:lineRule="auto" w:line="360"/>
        <w:ind w:firstLine="482"/>
        <w:jc w:val="both"/>
      </w:pPr>
      <w:r>
        <w:rPr>
          <w:rFonts w:ascii="Times New Roman" w:hAnsi="Times New Roman" w:eastAsia="宋体"/>
          <w:b w:val="0"/>
          <w:sz w:val="24"/>
        </w:rPr>
        <w:t>（3）双学位的课程不纳入计算。</w:t>
      </w:r>
    </w:p>
    <w:p>
      <w:pPr>
        <w:spacing w:after="80" w:lineRule="auto" w:line="360"/>
        <w:ind w:firstLine="482"/>
        <w:jc w:val="both"/>
      </w:pPr>
      <w:r>
        <w:rPr>
          <w:rFonts w:ascii="Times New Roman" w:hAnsi="Times New Roman" w:eastAsia="宋体"/>
          <w:b w:val="0"/>
          <w:sz w:val="24"/>
        </w:rPr>
        <w:t>（4）完成前6学期教学计划学分要求的课程。</w:t>
      </w:r>
    </w:p>
    <w:p>
      <w:pPr>
        <w:spacing w:after="80" w:lineRule="auto" w:line="360"/>
        <w:ind w:firstLine="482"/>
        <w:jc w:val="both"/>
      </w:pPr>
      <w:r>
        <w:rPr>
          <w:rFonts w:ascii="Times New Roman" w:hAnsi="Times New Roman" w:eastAsia="宋体"/>
          <w:b w:val="0"/>
          <w:sz w:val="24"/>
        </w:rPr>
        <w:t>（5）特殊情况由工作组研讨决定。</w:t>
      </w:r>
    </w:p>
    <w:p>
      <w:pPr>
        <w:spacing w:before="160" w:after="80" w:lineRule="auto" w:line="360"/>
        <w:jc w:val="left"/>
      </w:pPr>
      <w:r>
        <w:rPr>
          <w:rFonts w:ascii="Times New Roman" w:hAnsi="Times New Roman" w:eastAsia="宋体"/>
          <w:b/>
          <w:sz w:val="28"/>
        </w:rPr>
        <w:t>四、各专业纳入计算的课程信息、不纳入计算的课程信息及原因</w:t>
      </w:r>
    </w:p>
    <w:p>
      <w:pPr>
        <w:spacing w:after="80" w:lineRule="auto" w:line="360"/>
        <w:ind w:firstLine="482"/>
        <w:jc w:val="both"/>
      </w:pPr>
      <w:r>
        <w:rPr>
          <w:rFonts w:ascii="Times New Roman" w:hAnsi="Times New Roman" w:eastAsia="宋体"/>
          <w:b w:val="0"/>
          <w:sz w:val="24"/>
        </w:rPr>
        <w:t>1. 详见附件（附件1-1至附件1-10），涵盖化学、应用化学/应用化学-机械工程、化学工程与工艺/化学工程与工艺-工商管理、制药工程、能源化学工程等专业的课程清单及不纳入计算课程的原因说明。</w:t>
      </w:r>
    </w:p>
    <w:p>
      <w:pPr>
        <w:spacing w:before="160" w:after="80" w:lineRule="auto" w:line="360"/>
        <w:jc w:val="left"/>
      </w:pPr>
      <w:r>
        <w:rPr>
          <w:rFonts w:ascii="Times New Roman" w:hAnsi="Times New Roman" w:eastAsia="宋体"/>
          <w:b/>
          <w:sz w:val="28"/>
        </w:rPr>
        <w:t>五、公示</w:t>
      </w:r>
    </w:p>
    <w:p>
      <w:pPr>
        <w:spacing w:after="80" w:lineRule="auto" w:line="360"/>
        <w:ind w:firstLine="482"/>
        <w:jc w:val="both"/>
      </w:pPr>
      <w:r>
        <w:rPr>
          <w:rFonts w:ascii="Times New Roman" w:hAnsi="Times New Roman" w:eastAsia="宋体"/>
          <w:b w:val="0"/>
          <w:sz w:val="24"/>
        </w:rPr>
        <w:t>1. 公示方式：学院官方网站、学院公示栏。</w:t>
      </w:r>
    </w:p>
    <w:p>
      <w:pPr>
        <w:spacing w:after="80" w:lineRule="auto" w:line="360"/>
        <w:ind w:firstLine="482"/>
        <w:jc w:val="both"/>
      </w:pPr>
      <w:r>
        <w:rPr>
          <w:rFonts w:ascii="Times New Roman" w:hAnsi="Times New Roman" w:eastAsia="宋体"/>
          <w:b w:val="0"/>
          <w:sz w:val="24"/>
        </w:rPr>
        <w:t>2. 公示时间：2025年8月14日—2025年8月20日。</w:t>
      </w:r>
    </w:p>
    <w:p>
      <w:pPr>
        <w:spacing w:before="160" w:after="80" w:lineRule="auto" w:line="360"/>
        <w:jc w:val="left"/>
      </w:pPr>
      <w:r>
        <w:rPr>
          <w:rFonts w:ascii="Times New Roman" w:hAnsi="Times New Roman" w:eastAsia="宋体"/>
          <w:b/>
          <w:sz w:val="28"/>
        </w:rPr>
        <w:t>六、申诉</w:t>
      </w:r>
    </w:p>
    <w:p>
      <w:pPr>
        <w:spacing w:after="80" w:lineRule="auto" w:line="360"/>
        <w:ind w:firstLine="482"/>
        <w:jc w:val="both"/>
      </w:pPr>
      <w:r>
        <w:rPr>
          <w:rFonts w:ascii="Times New Roman" w:hAnsi="Times New Roman" w:eastAsia="宋体"/>
          <w:b w:val="0"/>
          <w:sz w:val="24"/>
        </w:rPr>
        <w:t>1. 对“课程认定及成绩计算细则”有异议者，可在学院公示期内向本学院“课程认定及成绩计算细则”工作组提出书面申诉，工作组将及时研究并予以答复。</w:t>
      </w:r>
    </w:p>
    <w:p>
      <w:pPr>
        <w:spacing w:after="80" w:lineRule="auto" w:line="360"/>
        <w:ind w:firstLine="482"/>
        <w:jc w:val="both"/>
      </w:pPr>
      <w:r>
        <w:rPr>
          <w:rFonts w:ascii="Times New Roman" w:hAnsi="Times New Roman" w:eastAsia="宋体"/>
          <w:b w:val="0"/>
          <w:sz w:val="24"/>
        </w:rPr>
        <w:t>2. 联系人：王老师</w:t>
      </w:r>
    </w:p>
    <w:p>
      <w:pPr>
        <w:spacing w:after="80" w:lineRule="auto" w:line="360"/>
        <w:ind w:firstLine="482"/>
        <w:jc w:val="both"/>
      </w:pPr>
      <w:r>
        <w:rPr>
          <w:rFonts w:ascii="Times New Roman" w:hAnsi="Times New Roman" w:eastAsia="宋体"/>
          <w:b w:val="0"/>
          <w:sz w:val="24"/>
        </w:rPr>
        <w:t>3. 联系邮箱：wangxingxing@bit.edu.cn</w:t>
      </w:r>
    </w:p>
    <w:p>
      <w:pPr>
        <w:spacing w:after="80" w:lineRule="auto" w:line="360"/>
        <w:ind w:firstLine="482"/>
        <w:jc w:val="both"/>
      </w:pPr>
      <w:r>
        <w:rPr>
          <w:rFonts w:ascii="Times New Roman" w:hAnsi="Times New Roman" w:eastAsia="宋体"/>
          <w:b w:val="0"/>
          <w:sz w:val="24"/>
        </w:rPr>
        <w:t>（本通知为推免工作课程认定及成绩计算细则，适用于2026年推荐优秀应届本科毕业生免试攻读研究生工作）</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