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辽宁工程技术大学关于做好2026年接收推免生工作的通知</w:t>
      </w:r>
    </w:p>
    <w:p>
      <w:pPr>
        <w:spacing w:after="80" w:lineRule="auto" w:line="360"/>
        <w:ind w:firstLine="482"/>
        <w:jc w:val="both"/>
      </w:pPr>
      <w:r>
        <w:rPr>
          <w:rFonts w:ascii="Times New Roman" w:hAnsi="Times New Roman" w:eastAsia="宋体"/>
          <w:b w:val="0"/>
          <w:sz w:val="24"/>
        </w:rPr>
        <w:t>辽宁工程技术大学发布《关于做好我校2026年接收推免生工作的通知》（辽工程发〔2025〕292号），就2026年接收推免生工作作出安排。</w:t>
      </w:r>
    </w:p>
    <w:p>
      <w:pPr>
        <w:spacing w:after="80" w:lineRule="auto" w:line="360"/>
        <w:ind w:firstLine="482"/>
        <w:jc w:val="both"/>
      </w:pPr>
      <w:r>
        <w:rPr>
          <w:rFonts w:ascii="Times New Roman" w:hAnsi="Times New Roman" w:eastAsia="宋体"/>
          <w:b w:val="0"/>
          <w:sz w:val="24"/>
        </w:rPr>
        <w:t>发布日期（推定）：2025年9月22日</w:t>
      </w:r>
    </w:p>
    <w:p>
      <w:pPr>
        <w:spacing w:before="160" w:after="80" w:lineRule="auto" w:line="360"/>
        <w:jc w:val="left"/>
      </w:pPr>
      <w:r>
        <w:rPr>
          <w:rFonts w:ascii="Times New Roman" w:hAnsi="Times New Roman" w:eastAsia="宋体"/>
          <w:b/>
          <w:sz w:val="28"/>
        </w:rPr>
        <w:t>一、招收专业与人数</w:t>
      </w:r>
    </w:p>
    <w:p>
      <w:pPr>
        <w:spacing w:after="80" w:lineRule="auto" w:line="360"/>
        <w:ind w:firstLine="482"/>
        <w:jc w:val="both"/>
      </w:pPr>
      <w:r>
        <w:rPr>
          <w:rFonts w:ascii="Times New Roman" w:hAnsi="Times New Roman" w:eastAsia="宋体"/>
          <w:b w:val="0"/>
          <w:sz w:val="24"/>
        </w:rPr>
        <w:t>1. 招收专业：我校接收推免生的专业为所有全日制招生专业。</w:t>
      </w:r>
    </w:p>
    <w:p>
      <w:pPr>
        <w:spacing w:after="80" w:lineRule="auto" w:line="360"/>
        <w:ind w:firstLine="482"/>
        <w:jc w:val="both"/>
      </w:pPr>
      <w:r>
        <w:rPr>
          <w:rFonts w:ascii="Times New Roman" w:hAnsi="Times New Roman" w:eastAsia="宋体"/>
          <w:b w:val="0"/>
          <w:sz w:val="24"/>
        </w:rPr>
        <w:t>2. 招收人数：2026年，我校拟招收包含直博生在内的推免生500名（含校内、校外）。各专业招生人数由各招生学院根据推免生报名情况在复试录取时确定。</w:t>
      </w:r>
    </w:p>
    <w:p>
      <w:pPr>
        <w:spacing w:after="80" w:lineRule="auto" w:line="360"/>
        <w:ind w:firstLine="482"/>
        <w:jc w:val="both"/>
      </w:pPr>
      <w:r>
        <w:rPr>
          <w:rFonts w:ascii="Times New Roman" w:hAnsi="Times New Roman" w:eastAsia="宋体"/>
          <w:b w:val="0"/>
          <w:sz w:val="24"/>
        </w:rPr>
        <w:t>3. 直博生招生：在管理科学与工程、矿业工程、测绘科学与技术、力学、安全科学与工程、机械工程、土木工程、电气工程8个一级学科博士点开展直博生招生。每个一级学科博士点接收直博生原则上不超过4名，全校不超过30名。</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申请推免生须同时满足以下条件：</w:t>
      </w:r>
    </w:p>
    <w:p>
      <w:pPr>
        <w:spacing w:after="80" w:lineRule="auto" w:line="360"/>
        <w:ind w:firstLine="482"/>
        <w:jc w:val="both"/>
      </w:pPr>
      <w:r>
        <w:rPr>
          <w:rFonts w:ascii="Times New Roman" w:hAnsi="Times New Roman" w:eastAsia="宋体"/>
          <w:b w:val="0"/>
          <w:sz w:val="24"/>
        </w:rPr>
        <w:t>1. 推免资格：具有推荐免试授权高校的应届本科毕业生，并获得所在学校推荐免试资格。</w:t>
      </w:r>
    </w:p>
    <w:p>
      <w:pPr>
        <w:spacing w:after="80" w:lineRule="auto" w:line="360"/>
        <w:ind w:firstLine="482"/>
        <w:jc w:val="both"/>
      </w:pPr>
      <w:r>
        <w:rPr>
          <w:rFonts w:ascii="Times New Roman" w:hAnsi="Times New Roman" w:eastAsia="宋体"/>
          <w:b w:val="0"/>
          <w:sz w:val="24"/>
        </w:rPr>
        <w:t>2. 思想政治：德智体美劳全面发展，遵纪守法，诚实守信，身心健康。</w:t>
      </w:r>
    </w:p>
    <w:p>
      <w:pPr>
        <w:spacing w:after="80" w:lineRule="auto" w:line="360"/>
        <w:ind w:firstLine="482"/>
        <w:jc w:val="both"/>
      </w:pPr>
      <w:r>
        <w:rPr>
          <w:rFonts w:ascii="Times New Roman" w:hAnsi="Times New Roman" w:eastAsia="宋体"/>
          <w:b w:val="0"/>
          <w:sz w:val="24"/>
        </w:rPr>
        <w:t>3. 学业成绩：在校期间学习成绩优秀，专业成绩和综合成绩名列本专业前茅；学术研究兴趣浓厚，有较好的专业素养，有较强的创新意识和创新能力。</w:t>
      </w:r>
    </w:p>
    <w:p>
      <w:pPr>
        <w:spacing w:after="80" w:lineRule="auto" w:line="360"/>
        <w:ind w:firstLine="482"/>
        <w:jc w:val="both"/>
      </w:pPr>
      <w:r>
        <w:rPr>
          <w:rFonts w:ascii="Times New Roman" w:hAnsi="Times New Roman" w:eastAsia="宋体"/>
          <w:b w:val="0"/>
          <w:sz w:val="24"/>
        </w:rPr>
        <w:t>4. 学位要求：毕业时须获得学士学位。</w:t>
      </w:r>
    </w:p>
    <w:p>
      <w:pPr>
        <w:spacing w:after="80" w:lineRule="auto" w:line="360"/>
        <w:ind w:firstLine="482"/>
        <w:jc w:val="both"/>
      </w:pPr>
      <w:r>
        <w:rPr>
          <w:rFonts w:ascii="Times New Roman" w:hAnsi="Times New Roman" w:eastAsia="宋体"/>
          <w:b w:val="0"/>
          <w:sz w:val="24"/>
        </w:rPr>
        <w:t>5. 诚信与纪律：无任何考试作弊、剽窃他人学术成果以及其他违法违纪等被处分记录。</w:t>
      </w:r>
    </w:p>
    <w:p>
      <w:pPr>
        <w:spacing w:after="80" w:lineRule="auto" w:line="360"/>
        <w:ind w:firstLine="482"/>
        <w:jc w:val="both"/>
      </w:pPr>
      <w:r>
        <w:rPr>
          <w:rFonts w:ascii="Times New Roman" w:hAnsi="Times New Roman" w:eastAsia="宋体"/>
          <w:b w:val="0"/>
          <w:sz w:val="24"/>
        </w:rPr>
        <w:t>6. 直博生：申请直博生推免还需达到所申请一级博士点学科相关申请要求。</w:t>
      </w:r>
    </w:p>
    <w:p>
      <w:pPr>
        <w:spacing w:before="160" w:after="80" w:lineRule="auto" w:line="360"/>
        <w:jc w:val="left"/>
      </w:pPr>
      <w:r>
        <w:rPr>
          <w:rFonts w:ascii="Times New Roman" w:hAnsi="Times New Roman" w:eastAsia="宋体"/>
          <w:b/>
          <w:sz w:val="28"/>
        </w:rPr>
        <w:t>三、招收程序</w:t>
      </w:r>
    </w:p>
    <w:p>
      <w:pPr>
        <w:spacing w:after="80" w:lineRule="auto" w:line="360"/>
        <w:ind w:firstLine="482"/>
        <w:jc w:val="both"/>
      </w:pPr>
      <w:r>
        <w:rPr>
          <w:rFonts w:ascii="Times New Roman" w:hAnsi="Times New Roman" w:eastAsia="宋体"/>
          <w:b w:val="0"/>
          <w:sz w:val="24"/>
        </w:rPr>
        <w:t>1. 报名：获得推荐免试资格的推免生于有效时间内，登陆教育部“推免服务系统”（网址：http://yz.chsi.com.cn/tm）注册并填写个人信息，按网上要求如实完成网上报名。</w:t>
      </w:r>
    </w:p>
    <w:p>
      <w:pPr>
        <w:spacing w:after="80" w:lineRule="auto" w:line="360"/>
        <w:ind w:firstLine="482"/>
        <w:jc w:val="both"/>
      </w:pPr>
      <w:r>
        <w:rPr>
          <w:rFonts w:ascii="Times New Roman" w:hAnsi="Times New Roman" w:eastAsia="宋体"/>
          <w:b w:val="0"/>
          <w:sz w:val="24"/>
        </w:rPr>
        <w:t>2. 审核：各招生学院依据推免生网上报名信息进行审查，在规定时间内确定拟同意复试名单并通过教育部“推免服务系统”向相关推免生发送复试通知。</w:t>
      </w:r>
    </w:p>
    <w:p>
      <w:pPr>
        <w:spacing w:after="80" w:lineRule="auto" w:line="360"/>
        <w:ind w:firstLine="482"/>
        <w:jc w:val="both"/>
      </w:pPr>
      <w:r>
        <w:rPr>
          <w:rFonts w:ascii="Times New Roman" w:hAnsi="Times New Roman" w:eastAsia="宋体"/>
          <w:b w:val="0"/>
          <w:sz w:val="24"/>
        </w:rPr>
        <w:t>3. 复试：对审核同意复试的推免生，参照《辽宁工程技术大学硕士研究生招生复试办法》有关要求组织推免生复试。参加复试的推免生须携带以下材料：</w:t>
      </w:r>
    </w:p>
    <w:p>
      <w:pPr>
        <w:spacing w:after="80" w:lineRule="auto" w:line="360"/>
        <w:ind w:firstLine="482"/>
        <w:jc w:val="both"/>
      </w:pPr>
      <w:r>
        <w:rPr>
          <w:rFonts w:ascii="Times New Roman" w:hAnsi="Times New Roman" w:eastAsia="宋体"/>
          <w:b w:val="0"/>
          <w:sz w:val="24"/>
        </w:rPr>
        <w:t>（1）所在院校教务部门盖章的成绩单（原件）</w:t>
      </w:r>
    </w:p>
    <w:p>
      <w:pPr>
        <w:spacing w:after="80" w:lineRule="auto" w:line="360"/>
        <w:ind w:firstLine="482"/>
        <w:jc w:val="both"/>
      </w:pPr>
      <w:r>
        <w:rPr>
          <w:rFonts w:ascii="Times New Roman" w:hAnsi="Times New Roman" w:eastAsia="宋体"/>
          <w:b w:val="0"/>
          <w:sz w:val="24"/>
        </w:rPr>
        <w:t>（2）《学生证》（原件及复印件）</w:t>
      </w:r>
    </w:p>
    <w:p>
      <w:pPr>
        <w:spacing w:after="80" w:lineRule="auto" w:line="360"/>
        <w:ind w:firstLine="482"/>
        <w:jc w:val="both"/>
      </w:pPr>
      <w:r>
        <w:rPr>
          <w:rFonts w:ascii="Times New Roman" w:hAnsi="Times New Roman" w:eastAsia="宋体"/>
          <w:b w:val="0"/>
          <w:sz w:val="24"/>
        </w:rPr>
        <w:t>（3）已获得的有关学术成果、外国语水平考试成绩单及其他支撑材料（原件及复印件）</w:t>
      </w:r>
    </w:p>
    <w:p>
      <w:pPr>
        <w:spacing w:after="80" w:lineRule="auto" w:line="360"/>
        <w:ind w:firstLine="482"/>
        <w:jc w:val="both"/>
      </w:pPr>
      <w:r>
        <w:rPr>
          <w:rFonts w:ascii="Times New Roman" w:hAnsi="Times New Roman" w:eastAsia="宋体"/>
          <w:b w:val="0"/>
          <w:sz w:val="24"/>
        </w:rPr>
        <w:t>推免生复试报到时，各招生学院负责审核推免生提供材料的真实性。</w:t>
      </w:r>
    </w:p>
    <w:p>
      <w:pPr>
        <w:spacing w:after="80" w:lineRule="auto" w:line="360"/>
        <w:ind w:firstLine="482"/>
        <w:jc w:val="both"/>
      </w:pPr>
      <w:r>
        <w:rPr>
          <w:rFonts w:ascii="Times New Roman" w:hAnsi="Times New Roman" w:eastAsia="宋体"/>
          <w:b w:val="0"/>
          <w:sz w:val="24"/>
        </w:rPr>
        <w:t>4. 体检：所有参加复试的推免生须到指定医院进行体检，体检标准参照《普通高等学校招生体检工作指导意见》（教学〔2003〕3号）和《教育部办公厅卫生部办公厅关于普通高等学校招生学生入学身体检查取消乙肝项目检测有关问题的通知》（教学厅〔2010〕2号）执行。</w:t>
      </w:r>
    </w:p>
    <w:p>
      <w:pPr>
        <w:spacing w:after="80" w:lineRule="auto" w:line="360"/>
        <w:ind w:firstLine="482"/>
        <w:jc w:val="both"/>
      </w:pPr>
      <w:r>
        <w:rPr>
          <w:rFonts w:ascii="Times New Roman" w:hAnsi="Times New Roman" w:eastAsia="宋体"/>
          <w:b w:val="0"/>
          <w:sz w:val="24"/>
        </w:rPr>
        <w:t>5. 录取：各招生学院根据推免生的复试成绩、思想政治素质考核及体检结果，提出拟录取名单，报研究生院审核。研究生院审核同意后在辽宁工程技术大学研究生招生网站上进行公示，并通过教育部“推免服务系统”向相关推免生发送待录取通知。收到我校待录取通知的推免生，及时通过教育部“推免服务系统”确定待录取通知，完成推免生录取工作。</w:t>
      </w:r>
    </w:p>
    <w:p>
      <w:pPr>
        <w:spacing w:before="160" w:after="80" w:lineRule="auto" w:line="360"/>
        <w:jc w:val="left"/>
      </w:pPr>
      <w:r>
        <w:rPr>
          <w:rFonts w:ascii="Times New Roman" w:hAnsi="Times New Roman" w:eastAsia="宋体"/>
          <w:b/>
          <w:sz w:val="28"/>
        </w:rPr>
        <w:t>四、其他事项</w:t>
      </w:r>
    </w:p>
    <w:p>
      <w:pPr>
        <w:spacing w:after="80" w:lineRule="auto" w:line="360"/>
        <w:ind w:firstLine="482"/>
        <w:jc w:val="both"/>
      </w:pPr>
      <w:r>
        <w:rPr>
          <w:rFonts w:ascii="Times New Roman" w:hAnsi="Times New Roman" w:eastAsia="宋体"/>
          <w:b w:val="0"/>
          <w:sz w:val="24"/>
        </w:rPr>
        <w:t>推免生必须确保提供的信息和材料真实、准确。一经发现申请人有弄虚作假行为，我校将取消其报名、复试、录取资格或学籍。</w:t>
      </w:r>
    </w:p>
    <w:p>
      <w:pPr>
        <w:spacing w:before="160" w:after="80" w:lineRule="auto" w:line="360"/>
        <w:jc w:val="left"/>
      </w:pPr>
      <w:r>
        <w:rPr>
          <w:rFonts w:ascii="Times New Roman" w:hAnsi="Times New Roman" w:eastAsia="宋体"/>
          <w:b/>
          <w:sz w:val="28"/>
        </w:rPr>
        <w:t>五、卓越工程师学院专项</w:t>
      </w:r>
    </w:p>
    <w:p>
      <w:pPr>
        <w:spacing w:after="80" w:lineRule="auto" w:line="360"/>
        <w:ind w:firstLine="482"/>
        <w:jc w:val="both"/>
      </w:pPr>
      <w:r>
        <w:rPr>
          <w:rFonts w:ascii="Times New Roman" w:hAnsi="Times New Roman" w:eastAsia="宋体"/>
          <w:b w:val="0"/>
          <w:sz w:val="24"/>
        </w:rPr>
        <w:t>卓越工程师学院与部分国家、辽宁省重点企业联合开展工程硕博士招生培养。</w:t>
      </w:r>
    </w:p>
    <w:p>
      <w:pPr>
        <w:spacing w:after="80" w:lineRule="auto" w:line="360"/>
        <w:ind w:firstLine="482"/>
        <w:jc w:val="both"/>
      </w:pPr>
      <w:r>
        <w:rPr>
          <w:rFonts w:ascii="Times New Roman" w:hAnsi="Times New Roman" w:eastAsia="宋体"/>
          <w:b w:val="0"/>
          <w:sz w:val="24"/>
        </w:rPr>
        <w:t>1. 招生计划：本年度拟通过推荐免试方式接收工程硕博士30人，学习方式为全日制，就业方式为非定向就业。</w:t>
      </w:r>
    </w:p>
    <w:p>
      <w:pPr>
        <w:spacing w:after="80" w:lineRule="auto" w:line="360"/>
        <w:ind w:firstLine="482"/>
        <w:jc w:val="both"/>
      </w:pPr>
      <w:r>
        <w:rPr>
          <w:rFonts w:ascii="Times New Roman" w:hAnsi="Times New Roman" w:eastAsia="宋体"/>
          <w:b w:val="0"/>
          <w:sz w:val="24"/>
        </w:rPr>
        <w:t>2. 招生领域与名额：</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学院</w:t>
            </w:r>
          </w:p>
        </w:tc>
        <w:tc>
          <w:tcPr>
            <w:tcW w:type="dxa" w:w="2878"/>
          </w:tcPr>
          <w:p>
            <w:pPr>
              <w:spacing w:after="20" w:before="20"/>
            </w:pPr>
            <w:r/>
            <w:r>
              <w:rPr>
                <w:rFonts w:ascii="Times New Roman" w:hAnsi="Times New Roman" w:eastAsia="宋体"/>
                <w:b/>
                <w:sz w:val="21"/>
              </w:rPr>
              <w:t>招生领域</w:t>
            </w:r>
          </w:p>
        </w:tc>
        <w:tc>
          <w:tcPr>
            <w:tcW w:type="dxa" w:w="2878"/>
          </w:tcPr>
          <w:p>
            <w:pPr>
              <w:spacing w:after="20" w:before="20"/>
            </w:pPr>
            <w:r/>
            <w:r>
              <w:rPr>
                <w:rFonts w:ascii="Times New Roman" w:hAnsi="Times New Roman" w:eastAsia="宋体"/>
                <w:b/>
                <w:sz w:val="21"/>
              </w:rPr>
              <w:t>招生计划</w:t>
            </w:r>
          </w:p>
        </w:tc>
      </w:tr>
      <w:tr>
        <w:tc>
          <w:tcPr>
            <w:tcW w:type="dxa" w:w="2878"/>
          </w:tcPr>
          <w:p>
            <w:pPr>
              <w:spacing w:after="20" w:before="20"/>
            </w:pPr>
            <w:r/>
            <w:r>
              <w:rPr>
                <w:rFonts w:ascii="Times New Roman" w:hAnsi="Times New Roman" w:eastAsia="宋体"/>
                <w:b w:val="0"/>
                <w:sz w:val="21"/>
              </w:rPr>
              <w:t>矿业学院</w:t>
            </w:r>
          </w:p>
        </w:tc>
        <w:tc>
          <w:tcPr>
            <w:tcW w:type="dxa" w:w="2878"/>
          </w:tcPr>
          <w:p>
            <w:pPr>
              <w:spacing w:after="20" w:before="20"/>
            </w:pPr>
            <w:r/>
            <w:r>
              <w:rPr>
                <w:rFonts w:ascii="Times New Roman" w:hAnsi="Times New Roman" w:eastAsia="宋体"/>
                <w:b w:val="0"/>
                <w:sz w:val="21"/>
              </w:rPr>
              <w:t>智慧能源</w:t>
            </w:r>
          </w:p>
        </w:tc>
        <w:tc>
          <w:tcPr>
            <w:tcW w:type="dxa" w:w="2878"/>
          </w:tcPr>
          <w:p>
            <w:pPr>
              <w:spacing w:after="20" w:before="20"/>
            </w:pPr>
            <w:r/>
            <w:r>
              <w:rPr>
                <w:rFonts w:ascii="Times New Roman" w:hAnsi="Times New Roman" w:eastAsia="宋体"/>
                <w:b w:val="0"/>
                <w:sz w:val="21"/>
              </w:rPr>
              <w:t>5人</w:t>
            </w:r>
          </w:p>
        </w:tc>
      </w:tr>
      <w:tr>
        <w:tc>
          <w:tcPr>
            <w:tcW w:type="dxa" w:w="2878"/>
          </w:tcPr>
          <w:p>
            <w:pPr>
              <w:spacing w:after="20" w:before="20"/>
            </w:pPr>
            <w:r/>
            <w:r>
              <w:rPr>
                <w:rFonts w:ascii="Times New Roman" w:hAnsi="Times New Roman" w:eastAsia="宋体"/>
                <w:b w:val="0"/>
                <w:sz w:val="21"/>
              </w:rPr>
              <w:t>电气与控制工程学院</w:t>
            </w:r>
          </w:p>
        </w:tc>
        <w:tc>
          <w:tcPr>
            <w:tcW w:type="dxa" w:w="2878"/>
          </w:tcPr>
          <w:p>
            <w:pPr>
              <w:spacing w:after="20" w:before="20"/>
            </w:pPr>
            <w:r/>
            <w:r>
              <w:rPr>
                <w:rFonts w:ascii="Times New Roman" w:hAnsi="Times New Roman" w:eastAsia="宋体"/>
                <w:b w:val="0"/>
                <w:sz w:val="21"/>
              </w:rPr>
              <w:t>智慧能源</w:t>
            </w:r>
          </w:p>
        </w:tc>
        <w:tc>
          <w:tcPr>
            <w:tcW w:type="dxa" w:w="2878"/>
          </w:tcPr>
          <w:p>
            <w:pPr>
              <w:spacing w:after="20" w:before="20"/>
            </w:pPr>
            <w:r/>
            <w:r>
              <w:rPr>
                <w:rFonts w:ascii="Times New Roman" w:hAnsi="Times New Roman" w:eastAsia="宋体"/>
                <w:b w:val="0"/>
                <w:sz w:val="21"/>
              </w:rPr>
              <w:t>4人</w:t>
            </w:r>
          </w:p>
        </w:tc>
      </w:tr>
      <w:tr>
        <w:tc>
          <w:tcPr>
            <w:tcW w:type="dxa" w:w="2878"/>
          </w:tcPr>
          <w:p>
            <w:pPr>
              <w:spacing w:after="20" w:before="20"/>
            </w:pPr>
            <w:r/>
            <w:r>
              <w:rPr>
                <w:rFonts w:ascii="Times New Roman" w:hAnsi="Times New Roman" w:eastAsia="宋体"/>
                <w:b w:val="0"/>
                <w:sz w:val="21"/>
              </w:rPr>
              <w:t>电子与信息工程学院</w:t>
            </w:r>
          </w:p>
        </w:tc>
        <w:tc>
          <w:tcPr>
            <w:tcW w:type="dxa" w:w="2878"/>
          </w:tcPr>
          <w:p>
            <w:pPr>
              <w:spacing w:after="20" w:before="20"/>
            </w:pPr>
            <w:r/>
            <w:r>
              <w:rPr>
                <w:rFonts w:ascii="Times New Roman" w:hAnsi="Times New Roman" w:eastAsia="宋体"/>
                <w:b w:val="0"/>
                <w:sz w:val="21"/>
              </w:rPr>
              <w:t>人工智能、新一代通信技术</w:t>
            </w:r>
          </w:p>
        </w:tc>
        <w:tc>
          <w:tcPr>
            <w:tcW w:type="dxa" w:w="2878"/>
          </w:tcPr>
          <w:p>
            <w:pPr>
              <w:spacing w:after="20" w:before="20"/>
            </w:pPr>
            <w:r/>
            <w:r>
              <w:rPr>
                <w:rFonts w:ascii="Times New Roman" w:hAnsi="Times New Roman" w:eastAsia="宋体"/>
                <w:b w:val="0"/>
                <w:sz w:val="21"/>
              </w:rPr>
              <w:t>4人</w:t>
            </w:r>
          </w:p>
        </w:tc>
      </w:tr>
      <w:tr>
        <w:tc>
          <w:tcPr>
            <w:tcW w:type="dxa" w:w="2878"/>
          </w:tcPr>
          <w:p>
            <w:pPr>
              <w:spacing w:after="20" w:before="20"/>
            </w:pPr>
            <w:r/>
            <w:r>
              <w:rPr>
                <w:rFonts w:ascii="Times New Roman" w:hAnsi="Times New Roman" w:eastAsia="宋体"/>
                <w:b w:val="0"/>
                <w:sz w:val="21"/>
              </w:rPr>
              <w:t>材料科学与工程学院</w:t>
            </w:r>
          </w:p>
        </w:tc>
        <w:tc>
          <w:tcPr>
            <w:tcW w:type="dxa" w:w="2878"/>
          </w:tcPr>
          <w:p>
            <w:pPr>
              <w:spacing w:after="20" w:before="20"/>
            </w:pPr>
            <w:r/>
            <w:r>
              <w:rPr>
                <w:rFonts w:ascii="Times New Roman" w:hAnsi="Times New Roman" w:eastAsia="宋体"/>
                <w:b w:val="0"/>
                <w:sz w:val="21"/>
              </w:rPr>
              <w:t>新材料</w:t>
            </w:r>
          </w:p>
        </w:tc>
        <w:tc>
          <w:tcPr>
            <w:tcW w:type="dxa" w:w="2878"/>
          </w:tcPr>
          <w:p>
            <w:pPr>
              <w:spacing w:after="20" w:before="20"/>
            </w:pPr>
            <w:r/>
            <w:r>
              <w:rPr>
                <w:rFonts w:ascii="Times New Roman" w:hAnsi="Times New Roman" w:eastAsia="宋体"/>
                <w:b w:val="0"/>
                <w:sz w:val="21"/>
              </w:rPr>
              <w:t>4人</w:t>
            </w:r>
          </w:p>
        </w:tc>
      </w:tr>
      <w:tr>
        <w:tc>
          <w:tcPr>
            <w:tcW w:type="dxa" w:w="2878"/>
          </w:tcPr>
          <w:p>
            <w:pPr>
              <w:spacing w:after="20" w:before="20"/>
            </w:pPr>
            <w:r/>
            <w:r>
              <w:rPr>
                <w:rFonts w:ascii="Times New Roman" w:hAnsi="Times New Roman" w:eastAsia="宋体"/>
                <w:b w:val="0"/>
                <w:sz w:val="21"/>
              </w:rPr>
              <w:t>测绘与地理科学学院</w:t>
            </w:r>
          </w:p>
        </w:tc>
        <w:tc>
          <w:tcPr>
            <w:tcW w:type="dxa" w:w="2878"/>
          </w:tcPr>
          <w:p>
            <w:pPr>
              <w:spacing w:after="20" w:before="20"/>
            </w:pPr>
            <w:r/>
            <w:r>
              <w:rPr>
                <w:rFonts w:ascii="Times New Roman" w:hAnsi="Times New Roman" w:eastAsia="宋体"/>
                <w:b w:val="0"/>
                <w:sz w:val="21"/>
              </w:rPr>
              <w:t>人工智能</w:t>
            </w:r>
          </w:p>
        </w:tc>
        <w:tc>
          <w:tcPr>
            <w:tcW w:type="dxa" w:w="2878"/>
          </w:tcPr>
          <w:p>
            <w:pPr>
              <w:spacing w:after="20" w:before="20"/>
            </w:pPr>
            <w:r/>
            <w:r>
              <w:rPr>
                <w:rFonts w:ascii="Times New Roman" w:hAnsi="Times New Roman" w:eastAsia="宋体"/>
                <w:b w:val="0"/>
                <w:sz w:val="21"/>
              </w:rPr>
              <w:t>3人</w:t>
            </w:r>
          </w:p>
        </w:tc>
      </w:tr>
      <w:tr>
        <w:tc>
          <w:tcPr>
            <w:tcW w:type="dxa" w:w="2878"/>
          </w:tcPr>
          <w:p>
            <w:pPr>
              <w:spacing w:after="20" w:before="20"/>
            </w:pPr>
            <w:r/>
            <w:r>
              <w:rPr>
                <w:rFonts w:ascii="Times New Roman" w:hAnsi="Times New Roman" w:eastAsia="宋体"/>
                <w:b w:val="0"/>
                <w:sz w:val="21"/>
              </w:rPr>
              <w:t>安全科学与工程学院</w:t>
            </w:r>
          </w:p>
        </w:tc>
        <w:tc>
          <w:tcPr>
            <w:tcW w:type="dxa" w:w="2878"/>
          </w:tcPr>
          <w:p>
            <w:pPr>
              <w:spacing w:after="20" w:before="20"/>
            </w:pPr>
            <w:r/>
            <w:r>
              <w:rPr>
                <w:rFonts w:ascii="Times New Roman" w:hAnsi="Times New Roman" w:eastAsia="宋体"/>
                <w:b w:val="0"/>
                <w:sz w:val="21"/>
              </w:rPr>
              <w:t>人工智能、智慧能源、新材料</w:t>
            </w:r>
          </w:p>
        </w:tc>
        <w:tc>
          <w:tcPr>
            <w:tcW w:type="dxa" w:w="2878"/>
          </w:tcPr>
          <w:p>
            <w:pPr>
              <w:spacing w:after="20" w:before="20"/>
            </w:pPr>
            <w:r/>
            <w:r>
              <w:rPr>
                <w:rFonts w:ascii="Times New Roman" w:hAnsi="Times New Roman" w:eastAsia="宋体"/>
                <w:b w:val="0"/>
                <w:sz w:val="21"/>
              </w:rPr>
              <w:t>3人</w:t>
            </w:r>
          </w:p>
        </w:tc>
      </w:tr>
      <w:tr>
        <w:tc>
          <w:tcPr>
            <w:tcW w:type="dxa" w:w="2878"/>
          </w:tcPr>
          <w:p>
            <w:pPr>
              <w:spacing w:after="20" w:before="20"/>
            </w:pPr>
            <w:r/>
            <w:r>
              <w:rPr>
                <w:rFonts w:ascii="Times New Roman" w:hAnsi="Times New Roman" w:eastAsia="宋体"/>
                <w:b w:val="0"/>
                <w:sz w:val="21"/>
              </w:rPr>
              <w:t>土木工程学院</w:t>
            </w:r>
          </w:p>
        </w:tc>
        <w:tc>
          <w:tcPr>
            <w:tcW w:type="dxa" w:w="2878"/>
          </w:tcPr>
          <w:p>
            <w:pPr>
              <w:spacing w:after="20" w:before="20"/>
            </w:pPr>
            <w:r/>
            <w:r>
              <w:rPr>
                <w:rFonts w:ascii="Times New Roman" w:hAnsi="Times New Roman" w:eastAsia="宋体"/>
                <w:b w:val="0"/>
                <w:sz w:val="21"/>
              </w:rPr>
              <w:t>新材料</w:t>
            </w:r>
          </w:p>
        </w:tc>
        <w:tc>
          <w:tcPr>
            <w:tcW w:type="dxa" w:w="2878"/>
          </w:tcPr>
          <w:p>
            <w:pPr>
              <w:spacing w:after="20" w:before="20"/>
            </w:pPr>
            <w:r/>
            <w:r>
              <w:rPr>
                <w:rFonts w:ascii="Times New Roman" w:hAnsi="Times New Roman" w:eastAsia="宋体"/>
                <w:b w:val="0"/>
                <w:sz w:val="21"/>
              </w:rPr>
              <w:t>3人</w:t>
            </w:r>
          </w:p>
        </w:tc>
      </w:tr>
      <w:tr>
        <w:tc>
          <w:tcPr>
            <w:tcW w:type="dxa" w:w="2878"/>
          </w:tcPr>
          <w:p>
            <w:pPr>
              <w:spacing w:after="20" w:before="20"/>
            </w:pPr>
            <w:r/>
            <w:r>
              <w:rPr>
                <w:rFonts w:ascii="Times New Roman" w:hAnsi="Times New Roman" w:eastAsia="宋体"/>
                <w:b w:val="0"/>
                <w:sz w:val="21"/>
              </w:rPr>
              <w:t>机械工程学院</w:t>
            </w:r>
          </w:p>
        </w:tc>
        <w:tc>
          <w:tcPr>
            <w:tcW w:type="dxa" w:w="2878"/>
          </w:tcPr>
          <w:p>
            <w:pPr>
              <w:spacing w:after="20" w:before="20"/>
            </w:pPr>
            <w:r/>
            <w:r>
              <w:rPr>
                <w:rFonts w:ascii="Times New Roman" w:hAnsi="Times New Roman" w:eastAsia="宋体"/>
                <w:b w:val="0"/>
                <w:sz w:val="21"/>
              </w:rPr>
              <w:t>工业母机</w:t>
            </w:r>
          </w:p>
        </w:tc>
        <w:tc>
          <w:tcPr>
            <w:tcW w:type="dxa" w:w="2878"/>
          </w:tcPr>
          <w:p>
            <w:pPr>
              <w:spacing w:after="20" w:before="20"/>
            </w:pPr>
            <w:r/>
            <w:r>
              <w:rPr>
                <w:rFonts w:ascii="Times New Roman" w:hAnsi="Times New Roman" w:eastAsia="宋体"/>
                <w:b w:val="0"/>
                <w:sz w:val="21"/>
              </w:rPr>
              <w:t>2人</w:t>
            </w:r>
          </w:p>
        </w:tc>
      </w:tr>
      <w:tr>
        <w:tc>
          <w:tcPr>
            <w:tcW w:type="dxa" w:w="2878"/>
          </w:tcPr>
          <w:p>
            <w:pPr>
              <w:spacing w:after="20" w:before="20"/>
            </w:pPr>
            <w:r/>
            <w:r>
              <w:rPr>
                <w:rFonts w:ascii="Times New Roman" w:hAnsi="Times New Roman" w:eastAsia="宋体"/>
                <w:b w:val="0"/>
                <w:sz w:val="21"/>
              </w:rPr>
              <w:t>环境科学与工程学院</w:t>
            </w:r>
          </w:p>
        </w:tc>
        <w:tc>
          <w:tcPr>
            <w:tcW w:type="dxa" w:w="2878"/>
          </w:tcPr>
          <w:p>
            <w:pPr>
              <w:spacing w:after="20" w:before="20"/>
            </w:pPr>
            <w:r/>
            <w:r>
              <w:rPr>
                <w:rFonts w:ascii="Times New Roman" w:hAnsi="Times New Roman" w:eastAsia="宋体"/>
                <w:b w:val="0"/>
                <w:sz w:val="21"/>
              </w:rPr>
              <w:t>新材料</w:t>
            </w:r>
          </w:p>
        </w:tc>
        <w:tc>
          <w:tcPr>
            <w:tcW w:type="dxa" w:w="2878"/>
          </w:tcPr>
          <w:p>
            <w:pPr>
              <w:spacing w:after="20" w:before="20"/>
            </w:pPr>
            <w:r/>
            <w:r>
              <w:rPr>
                <w:rFonts w:ascii="Times New Roman" w:hAnsi="Times New Roman" w:eastAsia="宋体"/>
                <w:b w:val="0"/>
                <w:sz w:val="21"/>
              </w:rPr>
              <w:t>1人</w:t>
            </w:r>
          </w:p>
        </w:tc>
      </w:tr>
      <w:tr>
        <w:tc>
          <w:tcPr>
            <w:tcW w:type="dxa" w:w="2878"/>
          </w:tcPr>
          <w:p>
            <w:pPr>
              <w:spacing w:after="20" w:before="20"/>
            </w:pPr>
            <w:r/>
            <w:r>
              <w:rPr>
                <w:rFonts w:ascii="Times New Roman" w:hAnsi="Times New Roman" w:eastAsia="宋体"/>
                <w:b w:val="0"/>
                <w:sz w:val="21"/>
              </w:rPr>
              <w:t>软件学院（力学与工程学院）</w:t>
            </w:r>
          </w:p>
        </w:tc>
        <w:tc>
          <w:tcPr>
            <w:tcW w:type="dxa" w:w="2878"/>
          </w:tcPr>
          <w:p>
            <w:pPr>
              <w:spacing w:after="20" w:before="20"/>
            </w:pPr>
            <w:r/>
            <w:r>
              <w:rPr>
                <w:rFonts w:ascii="Times New Roman" w:hAnsi="Times New Roman" w:eastAsia="宋体"/>
                <w:b w:val="0"/>
                <w:sz w:val="21"/>
              </w:rPr>
              <w:t>人工智能、关键软件</w:t>
            </w:r>
          </w:p>
        </w:tc>
        <w:tc>
          <w:tcPr>
            <w:tcW w:type="dxa" w:w="2878"/>
          </w:tcPr>
          <w:p>
            <w:pPr>
              <w:spacing w:after="20" w:before="20"/>
            </w:pPr>
            <w:r/>
            <w:r>
              <w:rPr>
                <w:rFonts w:ascii="Times New Roman" w:hAnsi="Times New Roman" w:eastAsia="宋体"/>
                <w:b w:val="0"/>
                <w:sz w:val="21"/>
              </w:rPr>
              <w:t>1人</w:t>
            </w:r>
          </w:p>
        </w:tc>
      </w:tr>
    </w:tbl>
    <w:p>
      <w:pPr>
        <w:spacing w:after="80" w:lineRule="auto" w:line="360"/>
        <w:ind w:firstLine="482"/>
        <w:jc w:val="both"/>
      </w:pPr>
      <w:r>
        <w:rPr>
          <w:rFonts w:ascii="Times New Roman" w:hAnsi="Times New Roman" w:eastAsia="宋体"/>
          <w:b w:val="0"/>
          <w:sz w:val="24"/>
        </w:rPr>
        <w:t>3. 申请条件：除满足学校基本条件外，还须符合以下要求：</w:t>
      </w:r>
    </w:p>
    <w:p>
      <w:pPr>
        <w:spacing w:after="80" w:lineRule="auto" w:line="360"/>
        <w:ind w:firstLine="482"/>
        <w:jc w:val="both"/>
      </w:pPr>
      <w:r>
        <w:rPr>
          <w:rFonts w:ascii="Times New Roman" w:hAnsi="Times New Roman" w:eastAsia="宋体"/>
          <w:b w:val="0"/>
          <w:sz w:val="24"/>
        </w:rPr>
        <w:t>（1）身份要求：纳入国家普通本科招生计划录取的应届本科毕业生（不含专升本、第二学士学位、中职升本、独立学院学生），取得目前就读学校的推荐免试生资格。</w:t>
      </w:r>
    </w:p>
    <w:p>
      <w:pPr>
        <w:spacing w:after="80" w:lineRule="auto" w:line="360"/>
        <w:ind w:firstLine="482"/>
        <w:jc w:val="both"/>
      </w:pPr>
      <w:r>
        <w:rPr>
          <w:rFonts w:ascii="Times New Roman" w:hAnsi="Times New Roman" w:eastAsia="宋体"/>
          <w:b w:val="0"/>
          <w:sz w:val="24"/>
        </w:rPr>
        <w:t>（2）学业成绩：前6个学期培养方案中规定课程全部通过。平均学分绩在本专业学生中列前30%，或经学校审核认定的学术论文和创新创业竞赛成果达到特殊学术专长加分要求的学生，平均学分绩在本专业学生中列前50%。</w:t>
      </w:r>
    </w:p>
    <w:p>
      <w:pPr>
        <w:spacing w:after="80" w:lineRule="auto" w:line="360"/>
        <w:ind w:firstLine="482"/>
        <w:jc w:val="both"/>
      </w:pPr>
      <w:r>
        <w:rPr>
          <w:rFonts w:ascii="Times New Roman" w:hAnsi="Times New Roman" w:eastAsia="宋体"/>
          <w:b w:val="0"/>
          <w:sz w:val="24"/>
        </w:rPr>
        <w:t>（3）导师推荐：获得校内本专业一名硕士研究生导师推荐。</w:t>
      </w:r>
    </w:p>
    <w:p>
      <w:pPr>
        <w:spacing w:after="80" w:lineRule="auto" w:line="360"/>
        <w:ind w:firstLine="482"/>
        <w:jc w:val="both"/>
      </w:pPr>
      <w:r>
        <w:rPr>
          <w:rFonts w:ascii="Times New Roman" w:hAnsi="Times New Roman" w:eastAsia="宋体"/>
          <w:b w:val="0"/>
          <w:sz w:val="24"/>
        </w:rPr>
        <w:t>（4）兴趣与能力：对工程技术有着浓厚兴趣，具有较好的工程技术理论基础和较强的工程实践能力。</w:t>
      </w:r>
    </w:p>
    <w:p>
      <w:pPr>
        <w:spacing w:after="80" w:lineRule="auto" w:line="360"/>
        <w:ind w:firstLine="482"/>
        <w:jc w:val="both"/>
      </w:pPr>
      <w:r>
        <w:rPr>
          <w:rFonts w:ascii="Times New Roman" w:hAnsi="Times New Roman" w:eastAsia="宋体"/>
          <w:b w:val="0"/>
          <w:sz w:val="24"/>
        </w:rPr>
        <w:t>4. 培养特色：实行“双导师”制，校内导师与企业行业导师联合培养，学校和联合培养企业共同制定培养方案。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