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DB678B">
      <w:pPr>
        <w:jc w:val="center"/>
        <w:rPr>
          <w:rFonts w:eastAsia="方正小标宋简体"/>
          <w:b/>
          <w:bCs/>
          <w:sz w:val="36"/>
          <w:szCs w:val="36"/>
        </w:rPr>
      </w:pPr>
      <w:r>
        <w:rPr>
          <w:rFonts w:eastAsia="方正小标宋简体"/>
          <w:b/>
          <w:bCs/>
          <w:sz w:val="36"/>
          <w:szCs w:val="36"/>
        </w:rPr>
        <w:t>兰州理工大学能源与动力工程学院</w:t>
      </w:r>
    </w:p>
    <w:p w14:paraId="669D3578">
      <w:pPr>
        <w:jc w:val="center"/>
        <w:rPr>
          <w:rFonts w:eastAsia="方正小标宋简体"/>
          <w:b/>
          <w:bCs/>
          <w:sz w:val="32"/>
          <w:szCs w:val="32"/>
        </w:rPr>
      </w:pPr>
      <w:r>
        <w:rPr>
          <w:rFonts w:eastAsia="方正小标宋简体"/>
          <w:b/>
          <w:bCs/>
          <w:sz w:val="32"/>
          <w:szCs w:val="32"/>
        </w:rPr>
        <w:t>2026年推荐优秀应届本科毕业生免试攻读研究生工作实施细则</w:t>
      </w:r>
    </w:p>
    <w:p w14:paraId="690A2D76">
      <w:pPr>
        <w:jc w:val="center"/>
        <w:rPr>
          <w:b/>
          <w:bCs/>
          <w:sz w:val="28"/>
          <w:szCs w:val="28"/>
        </w:rPr>
      </w:pPr>
    </w:p>
    <w:p w14:paraId="3741B46E">
      <w:pPr>
        <w:snapToGrid w:val="0"/>
        <w:spacing w:line="360" w:lineRule="auto"/>
        <w:ind w:firstLine="460" w:firstLineChars="192"/>
        <w:rPr>
          <w:sz w:val="24"/>
        </w:rPr>
      </w:pPr>
      <w:r>
        <w:rPr>
          <w:sz w:val="24"/>
        </w:rPr>
        <w:t>根据《兰州理工大学关于做好2026年推荐优秀应届本科毕业生免试攻读硕士研究生工作的通知》精神，为做好学院2026年推荐优秀应届本科毕业生免试攻读硕士研究生工作（以下简称“推免工作”），结合我院实际情况，特制定本细则。</w:t>
      </w:r>
    </w:p>
    <w:p w14:paraId="2187D5F5">
      <w:pPr>
        <w:snapToGrid w:val="0"/>
        <w:spacing w:line="360" w:lineRule="auto"/>
        <w:rPr>
          <w:b/>
          <w:bCs/>
          <w:sz w:val="30"/>
          <w:szCs w:val="30"/>
        </w:rPr>
      </w:pPr>
      <w:r>
        <w:rPr>
          <w:b/>
          <w:bCs/>
          <w:sz w:val="30"/>
          <w:szCs w:val="30"/>
        </w:rPr>
        <w:t>一、组织领导及实施要求</w:t>
      </w:r>
    </w:p>
    <w:p w14:paraId="60DA921E">
      <w:pPr>
        <w:snapToGrid w:val="0"/>
        <w:spacing w:line="360" w:lineRule="auto"/>
        <w:rPr>
          <w:b/>
          <w:sz w:val="24"/>
        </w:rPr>
      </w:pPr>
      <w:r>
        <w:rPr>
          <w:b/>
          <w:sz w:val="24"/>
        </w:rPr>
        <w:t>（一）组织领导</w:t>
      </w:r>
    </w:p>
    <w:p w14:paraId="379099C4">
      <w:pPr>
        <w:snapToGrid w:val="0"/>
        <w:spacing w:line="360" w:lineRule="auto"/>
        <w:ind w:firstLine="480" w:firstLineChars="200"/>
        <w:rPr>
          <w:sz w:val="24"/>
        </w:rPr>
      </w:pPr>
      <w:r>
        <w:rPr>
          <w:sz w:val="24"/>
        </w:rPr>
        <w:t>由学院组织成立推免生遴选工作领导小组和推免生遴选工作小组，按照学校推免工作要求认真做好学生成绩汇总、审核等工作，</w:t>
      </w:r>
      <w:r>
        <w:rPr>
          <w:kern w:val="0"/>
          <w:sz w:val="24"/>
        </w:rPr>
        <w:t>做到推免</w:t>
      </w:r>
      <w:r>
        <w:rPr>
          <w:sz w:val="24"/>
        </w:rPr>
        <w:t>工作制度化、规范化和科学化。</w:t>
      </w:r>
    </w:p>
    <w:p w14:paraId="14504B8B">
      <w:pPr>
        <w:snapToGrid w:val="0"/>
        <w:spacing w:before="156" w:beforeLines="50" w:line="360" w:lineRule="auto"/>
        <w:ind w:firstLine="511" w:firstLineChars="212"/>
        <w:rPr>
          <w:b/>
          <w:sz w:val="24"/>
        </w:rPr>
      </w:pPr>
      <w:r>
        <w:rPr>
          <w:b/>
          <w:sz w:val="24"/>
        </w:rPr>
        <w:t>推免生遴选工作领导小组：</w:t>
      </w:r>
    </w:p>
    <w:p w14:paraId="3316003E">
      <w:pPr>
        <w:snapToGrid w:val="0"/>
        <w:spacing w:line="360" w:lineRule="auto"/>
        <w:ind w:firstLine="508" w:firstLineChars="212"/>
        <w:rPr>
          <w:sz w:val="24"/>
        </w:rPr>
      </w:pPr>
      <w:r>
        <w:rPr>
          <w:sz w:val="24"/>
        </w:rPr>
        <w:t>组  长：朱毓杰  魏列江</w:t>
      </w:r>
    </w:p>
    <w:p w14:paraId="5EF53E5F">
      <w:pPr>
        <w:snapToGrid w:val="0"/>
        <w:spacing w:line="360" w:lineRule="auto"/>
        <w:ind w:left="2068" w:leftChars="242" w:hanging="1560" w:hangingChars="650"/>
        <w:rPr>
          <w:sz w:val="24"/>
        </w:rPr>
      </w:pPr>
      <w:r>
        <w:rPr>
          <w:sz w:val="24"/>
        </w:rPr>
        <w:t>成  员：张人会  赵伟国  南军虎  陈  冲  王晓晖  曹文斌  李少年</w:t>
      </w:r>
    </w:p>
    <w:p w14:paraId="7976CB90">
      <w:pPr>
        <w:snapToGrid w:val="0"/>
        <w:spacing w:before="156" w:beforeLines="50" w:line="360" w:lineRule="auto"/>
        <w:ind w:firstLine="511" w:firstLineChars="212"/>
        <w:rPr>
          <w:b/>
          <w:sz w:val="24"/>
        </w:rPr>
      </w:pPr>
      <w:r>
        <w:rPr>
          <w:b/>
          <w:sz w:val="24"/>
        </w:rPr>
        <w:t>推免生遴选工作小组：</w:t>
      </w:r>
    </w:p>
    <w:p w14:paraId="4C731DBA">
      <w:pPr>
        <w:snapToGrid w:val="0"/>
        <w:spacing w:line="360" w:lineRule="auto"/>
        <w:ind w:firstLine="508" w:firstLineChars="212"/>
        <w:rPr>
          <w:sz w:val="24"/>
        </w:rPr>
      </w:pPr>
      <w:r>
        <w:rPr>
          <w:sz w:val="24"/>
        </w:rPr>
        <w:t>组  长：南军虎  陈  冲</w:t>
      </w:r>
    </w:p>
    <w:p w14:paraId="7E9A28D5">
      <w:pPr>
        <w:snapToGrid w:val="0"/>
        <w:spacing w:line="360" w:lineRule="auto"/>
        <w:ind w:left="2068" w:leftChars="242" w:hanging="1560" w:hangingChars="650"/>
        <w:rPr>
          <w:sz w:val="24"/>
        </w:rPr>
      </w:pPr>
      <w:r>
        <w:rPr>
          <w:sz w:val="24"/>
        </w:rPr>
        <w:t>成  员：王晓晖  曹文斌  李少年  张 钊  董季澄</w:t>
      </w:r>
    </w:p>
    <w:p w14:paraId="12821E46">
      <w:pPr>
        <w:widowControl/>
        <w:snapToGrid w:val="0"/>
        <w:spacing w:line="360" w:lineRule="auto"/>
        <w:ind w:firstLine="480" w:firstLineChars="200"/>
        <w:jc w:val="left"/>
        <w:rPr>
          <w:sz w:val="24"/>
        </w:rPr>
      </w:pPr>
      <w:r>
        <w:rPr>
          <w:sz w:val="24"/>
        </w:rPr>
        <w:t>学生工作办公室、教学管理办公室、各教学基层组织配合推免生遴选工作小组，作好学院推免工作的宣传、讲解、前三年成绩查询、平均学分绩核算、信息核实、材料整理和汇总等推免生遴选工作。</w:t>
      </w:r>
    </w:p>
    <w:p w14:paraId="5989AF5A">
      <w:pPr>
        <w:snapToGrid w:val="0"/>
        <w:spacing w:before="156" w:beforeLines="50" w:line="360" w:lineRule="auto"/>
        <w:rPr>
          <w:b/>
          <w:sz w:val="24"/>
        </w:rPr>
      </w:pPr>
      <w:r>
        <w:rPr>
          <w:b/>
          <w:sz w:val="24"/>
        </w:rPr>
        <w:t>（二）实施要求</w:t>
      </w:r>
    </w:p>
    <w:p w14:paraId="62D17B47">
      <w:pPr>
        <w:snapToGrid w:val="0"/>
        <w:spacing w:line="360" w:lineRule="auto"/>
        <w:ind w:firstLine="480" w:firstLineChars="200"/>
        <w:rPr>
          <w:sz w:val="24"/>
        </w:rPr>
      </w:pPr>
      <w:r>
        <w:rPr>
          <w:sz w:val="24"/>
        </w:rPr>
        <w:t>1．推免工作坚持公开、公平、公正的原则，择优选拔，严禁任何人徇私舞弊。</w:t>
      </w:r>
    </w:p>
    <w:p w14:paraId="6AC7D70F">
      <w:pPr>
        <w:snapToGrid w:val="0"/>
        <w:spacing w:line="360" w:lineRule="auto"/>
        <w:ind w:firstLine="480" w:firstLineChars="200"/>
        <w:rPr>
          <w:sz w:val="24"/>
        </w:rPr>
      </w:pPr>
      <w:r>
        <w:rPr>
          <w:sz w:val="24"/>
        </w:rPr>
        <w:t>2．所有</w:t>
      </w:r>
      <w:r>
        <w:rPr>
          <w:rFonts w:hint="eastAsia"/>
          <w:sz w:val="24"/>
        </w:rPr>
        <w:t>创新奖励</w:t>
      </w:r>
      <w:r>
        <w:rPr>
          <w:sz w:val="24"/>
        </w:rPr>
        <w:t>加分项根据获奖证书、文件、原始记录</w:t>
      </w:r>
      <w:r>
        <w:rPr>
          <w:rFonts w:hint="eastAsia"/>
          <w:sz w:val="24"/>
        </w:rPr>
        <w:t>等</w:t>
      </w:r>
      <w:r>
        <w:rPr>
          <w:sz w:val="24"/>
        </w:rPr>
        <w:t>。</w:t>
      </w:r>
    </w:p>
    <w:p w14:paraId="1D4BE283">
      <w:pPr>
        <w:snapToGrid w:val="0"/>
        <w:spacing w:line="360" w:lineRule="auto"/>
        <w:ind w:firstLine="480" w:firstLineChars="200"/>
        <w:rPr>
          <w:sz w:val="24"/>
        </w:rPr>
      </w:pPr>
      <w:r>
        <w:rPr>
          <w:sz w:val="24"/>
        </w:rPr>
        <w:t>3．符合推免条件的学生向学院提交书面申请材料，学院审核</w:t>
      </w:r>
      <w:r>
        <w:rPr>
          <w:rFonts w:hint="eastAsia"/>
          <w:sz w:val="24"/>
        </w:rPr>
        <w:t>、公示</w:t>
      </w:r>
      <w:r>
        <w:rPr>
          <w:sz w:val="24"/>
        </w:rPr>
        <w:t>。</w:t>
      </w:r>
    </w:p>
    <w:p w14:paraId="5F17B6D6">
      <w:pPr>
        <w:snapToGrid w:val="0"/>
        <w:spacing w:line="360" w:lineRule="auto"/>
        <w:ind w:firstLine="480" w:firstLineChars="200"/>
        <w:rPr>
          <w:sz w:val="24"/>
        </w:rPr>
      </w:pPr>
      <w:r>
        <w:rPr>
          <w:sz w:val="24"/>
        </w:rPr>
        <w:t>4．</w:t>
      </w:r>
      <w:r>
        <w:rPr>
          <w:rFonts w:hint="eastAsia"/>
          <w:sz w:val="24"/>
        </w:rPr>
        <w:t>学院拟推免学生</w:t>
      </w:r>
      <w:r>
        <w:rPr>
          <w:sz w:val="24"/>
        </w:rPr>
        <w:t>经学院党政</w:t>
      </w:r>
      <w:r>
        <w:rPr>
          <w:rFonts w:hint="eastAsia"/>
          <w:sz w:val="24"/>
        </w:rPr>
        <w:t>联席会议</w:t>
      </w:r>
      <w:r>
        <w:rPr>
          <w:sz w:val="24"/>
        </w:rPr>
        <w:t>通过后，上报学校。</w:t>
      </w:r>
    </w:p>
    <w:p w14:paraId="165D0B33">
      <w:pPr>
        <w:widowControl/>
        <w:spacing w:line="360" w:lineRule="auto"/>
        <w:jc w:val="left"/>
        <w:rPr>
          <w:b/>
          <w:bCs/>
          <w:sz w:val="30"/>
          <w:szCs w:val="30"/>
        </w:rPr>
      </w:pPr>
      <w:r>
        <w:rPr>
          <w:b/>
          <w:bCs/>
          <w:sz w:val="30"/>
          <w:szCs w:val="30"/>
        </w:rPr>
        <w:t>二、推免对象</w:t>
      </w:r>
    </w:p>
    <w:p w14:paraId="0AC25248">
      <w:pPr>
        <w:widowControl/>
        <w:snapToGrid w:val="0"/>
        <w:spacing w:line="360" w:lineRule="auto"/>
        <w:ind w:firstLine="420" w:firstLineChars="175"/>
        <w:jc w:val="left"/>
        <w:rPr>
          <w:sz w:val="24"/>
        </w:rPr>
      </w:pPr>
      <w:r>
        <w:rPr>
          <w:sz w:val="24"/>
        </w:rPr>
        <w:t>根据国家教育部有关规定，今年我院参加推免的对象是纳入国家普通高校招生计划的2026届能源与动力工程、机械电子工程、测控技术与仪器等3个专业的应届本科毕业生。</w:t>
      </w:r>
    </w:p>
    <w:p w14:paraId="0C9BFF4B">
      <w:pPr>
        <w:widowControl/>
        <w:spacing w:line="360" w:lineRule="auto"/>
        <w:jc w:val="left"/>
        <w:rPr>
          <w:b/>
          <w:bCs/>
          <w:sz w:val="30"/>
          <w:szCs w:val="30"/>
        </w:rPr>
      </w:pPr>
      <w:r>
        <w:rPr>
          <w:b/>
          <w:bCs/>
          <w:sz w:val="30"/>
          <w:szCs w:val="30"/>
        </w:rPr>
        <w:t>三、推免工作相关规定</w:t>
      </w:r>
    </w:p>
    <w:p w14:paraId="73221730">
      <w:pPr>
        <w:widowControl/>
        <w:snapToGrid w:val="0"/>
        <w:spacing w:line="360" w:lineRule="auto"/>
        <w:jc w:val="left"/>
        <w:rPr>
          <w:b/>
          <w:sz w:val="24"/>
        </w:rPr>
      </w:pPr>
      <w:r>
        <w:rPr>
          <w:b/>
          <w:sz w:val="24"/>
        </w:rPr>
        <w:t>（一）推免生选拔的基本条件</w:t>
      </w:r>
    </w:p>
    <w:p w14:paraId="2D16FBF6">
      <w:pPr>
        <w:widowControl/>
        <w:snapToGrid w:val="0"/>
        <w:spacing w:line="360" w:lineRule="auto"/>
        <w:ind w:firstLine="480" w:firstLineChars="200"/>
        <w:jc w:val="left"/>
        <w:rPr>
          <w:sz w:val="24"/>
        </w:rPr>
      </w:pPr>
      <w:r>
        <w:rPr>
          <w:sz w:val="24"/>
        </w:rPr>
        <w:t>1．具有高尚的爱国主义情操和集体主义精神，社会主义信念坚定，社会责任感强，遵守法纪校规，诚实守信，学风端正，积极向上，身心健康。</w:t>
      </w:r>
    </w:p>
    <w:p w14:paraId="20933548">
      <w:pPr>
        <w:snapToGrid w:val="0"/>
        <w:spacing w:line="360" w:lineRule="auto"/>
        <w:ind w:firstLine="480" w:firstLineChars="200"/>
        <w:rPr>
          <w:sz w:val="24"/>
        </w:rPr>
      </w:pPr>
      <w:r>
        <w:rPr>
          <w:sz w:val="24"/>
        </w:rPr>
        <w:t>2．勤奋学习，刻苦钻研，成绩优秀。大学本科阶段前 3年课程加权平均分列本年级</w:t>
      </w:r>
      <w:r>
        <w:rPr>
          <w:b/>
          <w:sz w:val="24"/>
        </w:rPr>
        <w:t>所在专业排名前15%或前15名（卓越班、基地班本专业排名前30%或前30名）</w:t>
      </w:r>
      <w:r>
        <w:rPr>
          <w:sz w:val="24"/>
        </w:rPr>
        <w:t>。</w:t>
      </w:r>
    </w:p>
    <w:p w14:paraId="0DF5EF0D">
      <w:pPr>
        <w:snapToGrid w:val="0"/>
        <w:spacing w:line="360" w:lineRule="auto"/>
        <w:ind w:firstLine="480" w:firstLineChars="200"/>
        <w:rPr>
          <w:sz w:val="24"/>
        </w:rPr>
      </w:pPr>
      <w:r>
        <w:rPr>
          <w:sz w:val="24"/>
        </w:rPr>
        <w:t>3．学术研究兴趣浓厚，具有较强的创新意识、创新能力、实践能力和专业能力。</w:t>
      </w:r>
    </w:p>
    <w:p w14:paraId="36127ADD">
      <w:pPr>
        <w:widowControl/>
        <w:snapToGrid w:val="0"/>
        <w:spacing w:line="360" w:lineRule="auto"/>
        <w:ind w:firstLine="480" w:firstLineChars="200"/>
        <w:jc w:val="left"/>
        <w:rPr>
          <w:sz w:val="24"/>
        </w:rPr>
      </w:pPr>
      <w:r>
        <w:rPr>
          <w:sz w:val="24"/>
        </w:rPr>
        <w:t>4．参加国家大学英语四级考试成绩达到425分以上（含425分）；小语种学生应通过相应的国家外语等级考试。</w:t>
      </w:r>
      <w:r>
        <w:rPr>
          <w:b/>
          <w:sz w:val="24"/>
        </w:rPr>
        <w:t>所有外语等级考试的成绩必须是在本校参加考试取得的。</w:t>
      </w:r>
    </w:p>
    <w:p w14:paraId="28B43018">
      <w:pPr>
        <w:widowControl/>
        <w:snapToGrid w:val="0"/>
        <w:spacing w:line="360" w:lineRule="auto"/>
        <w:ind w:firstLine="480" w:firstLineChars="200"/>
        <w:jc w:val="left"/>
        <w:rPr>
          <w:sz w:val="24"/>
        </w:rPr>
      </w:pPr>
      <w:r>
        <w:rPr>
          <w:sz w:val="24"/>
        </w:rPr>
        <w:t>5．学风端正，在校学习期间无补考、重修课程（不包括通识教育与公共基础网络选修课程、辅修专业课程）；在个人诚信或思想政治表现方面无不良记录，</w:t>
      </w:r>
      <w:r>
        <w:rPr>
          <w:b/>
          <w:sz w:val="24"/>
        </w:rPr>
        <w:t>无学院或学校处分</w:t>
      </w:r>
      <w:r>
        <w:rPr>
          <w:sz w:val="24"/>
        </w:rPr>
        <w:t>。</w:t>
      </w:r>
    </w:p>
    <w:p w14:paraId="1930D566">
      <w:pPr>
        <w:widowControl/>
        <w:snapToGrid w:val="0"/>
        <w:spacing w:line="360" w:lineRule="auto"/>
        <w:jc w:val="left"/>
        <w:rPr>
          <w:b/>
          <w:sz w:val="24"/>
        </w:rPr>
      </w:pPr>
      <w:r>
        <w:rPr>
          <w:b/>
          <w:sz w:val="24"/>
        </w:rPr>
        <w:t>（二）综合考核成绩核算办法</w:t>
      </w:r>
    </w:p>
    <w:p w14:paraId="322490B8">
      <w:pPr>
        <w:snapToGrid w:val="0"/>
        <w:spacing w:line="360" w:lineRule="auto"/>
        <w:ind w:left="105" w:leftChars="50" w:firstLine="549" w:firstLineChars="229"/>
        <w:rPr>
          <w:sz w:val="24"/>
        </w:rPr>
      </w:pPr>
      <w:r>
        <w:rPr>
          <w:sz w:val="24"/>
        </w:rPr>
        <w:t>以综合考核成绩为推免的排序依据，综合考核成绩将大学本科阶段前3年课程的加权平均分作为基础遴选指标，以百分制计。</w:t>
      </w:r>
    </w:p>
    <w:p w14:paraId="09C3FE97">
      <w:pPr>
        <w:snapToGrid w:val="0"/>
        <w:spacing w:line="360" w:lineRule="auto"/>
        <w:ind w:left="105" w:leftChars="50" w:firstLine="549" w:firstLineChars="229"/>
        <w:rPr>
          <w:sz w:val="24"/>
        </w:rPr>
      </w:pPr>
      <w:r>
        <w:rPr>
          <w:sz w:val="24"/>
        </w:rPr>
        <w:t>综合考核成绩=大学本科阶段前3年课程</w:t>
      </w:r>
      <w:r>
        <w:rPr>
          <w:rFonts w:hint="eastAsia"/>
          <w:sz w:val="24"/>
        </w:rPr>
        <w:t>成绩</w:t>
      </w:r>
      <w:r>
        <w:rPr>
          <w:sz w:val="24"/>
        </w:rPr>
        <w:t>的加权平均分×90%+创新素质奖励分×10%。其中课程成绩以本科教务管理系统成绩为准，且为</w:t>
      </w:r>
      <w:r>
        <w:rPr>
          <w:b/>
          <w:sz w:val="24"/>
        </w:rPr>
        <w:t>考生初次参加考试成绩</w:t>
      </w:r>
      <w:r>
        <w:rPr>
          <w:sz w:val="24"/>
        </w:rPr>
        <w:t>。</w:t>
      </w:r>
    </w:p>
    <w:p w14:paraId="6969A061">
      <w:pPr>
        <w:snapToGrid w:val="0"/>
        <w:spacing w:line="360" w:lineRule="auto"/>
        <w:ind w:left="105" w:leftChars="50" w:firstLine="549" w:firstLineChars="229"/>
        <w:rPr>
          <w:sz w:val="24"/>
        </w:rPr>
      </w:pPr>
      <w:r>
        <w:rPr>
          <w:sz w:val="24"/>
        </w:rPr>
        <w:t>加权平均分课程模块包括通识与公共基础必修课程、学科</w:t>
      </w:r>
      <w:r>
        <w:rPr>
          <w:rFonts w:hint="eastAsia"/>
          <w:sz w:val="24"/>
        </w:rPr>
        <w:t>基础</w:t>
      </w:r>
      <w:r>
        <w:rPr>
          <w:sz w:val="24"/>
        </w:rPr>
        <w:t>课程和专业课程，通识教育与公共基础网络选修课程、辅修专业课程不计入加权平均分计算。</w:t>
      </w:r>
    </w:p>
    <w:p w14:paraId="0DC2E201">
      <w:pPr>
        <w:snapToGrid w:val="0"/>
        <w:spacing w:line="360" w:lineRule="auto"/>
        <w:ind w:firstLine="480" w:firstLineChars="200"/>
        <w:rPr>
          <w:sz w:val="24"/>
        </w:rPr>
      </w:pPr>
      <w:r>
        <w:rPr>
          <w:sz w:val="24"/>
        </w:rPr>
        <w:t>创新素质奖励分计算依据学校文件统一要求执行。最高者设为100分，其他推免生按创新素质奖励分数成绩与最高分之比乘以100</w:t>
      </w:r>
      <w:r>
        <w:rPr>
          <w:rFonts w:hint="eastAsia"/>
          <w:sz w:val="24"/>
        </w:rPr>
        <w:t>计算</w:t>
      </w:r>
      <w:r>
        <w:rPr>
          <w:sz w:val="24"/>
        </w:rPr>
        <w:t>。</w:t>
      </w:r>
    </w:p>
    <w:p w14:paraId="27E05607">
      <w:pPr>
        <w:widowControl/>
        <w:snapToGrid w:val="0"/>
        <w:spacing w:line="360" w:lineRule="auto"/>
        <w:jc w:val="left"/>
        <w:rPr>
          <w:b/>
          <w:sz w:val="24"/>
        </w:rPr>
      </w:pPr>
      <w:r>
        <w:rPr>
          <w:b/>
          <w:sz w:val="24"/>
        </w:rPr>
        <w:t>（三）创新素质奖励分计算标准</w:t>
      </w:r>
    </w:p>
    <w:p w14:paraId="1A6B5A0F">
      <w:pPr>
        <w:snapToGrid w:val="0"/>
        <w:spacing w:line="360" w:lineRule="auto"/>
        <w:rPr>
          <w:b/>
          <w:kern w:val="0"/>
          <w:sz w:val="24"/>
        </w:rPr>
      </w:pPr>
      <w:r>
        <w:rPr>
          <w:b/>
          <w:kern w:val="0"/>
          <w:sz w:val="24"/>
        </w:rPr>
        <w:t>1</w:t>
      </w:r>
      <w:r>
        <w:rPr>
          <w:sz w:val="24"/>
        </w:rPr>
        <w:t>．</w:t>
      </w:r>
      <w:r>
        <w:rPr>
          <w:b/>
          <w:kern w:val="0"/>
          <w:sz w:val="24"/>
        </w:rPr>
        <w:t>等级考试</w:t>
      </w:r>
    </w:p>
    <w:p w14:paraId="54633E21">
      <w:pPr>
        <w:snapToGrid w:val="0"/>
        <w:spacing w:line="360" w:lineRule="auto"/>
        <w:ind w:firstLine="480" w:firstLineChars="200"/>
        <w:rPr>
          <w:kern w:val="0"/>
          <w:sz w:val="24"/>
        </w:rPr>
      </w:pPr>
      <w:r>
        <w:rPr>
          <w:kern w:val="0"/>
          <w:sz w:val="24"/>
        </w:rPr>
        <w:t>（1）通过CET6：6分。</w:t>
      </w:r>
    </w:p>
    <w:p w14:paraId="27D47D7D">
      <w:pPr>
        <w:snapToGrid w:val="0"/>
        <w:spacing w:line="360" w:lineRule="auto"/>
        <w:ind w:firstLine="480" w:firstLineChars="200"/>
        <w:rPr>
          <w:kern w:val="0"/>
          <w:sz w:val="24"/>
        </w:rPr>
      </w:pPr>
      <w:r>
        <w:rPr>
          <w:kern w:val="0"/>
          <w:sz w:val="24"/>
        </w:rPr>
        <w:t>（2）通过国家计算机三级及以上考试：3分，通过国家计算机二级考试：1分（计算机二级或三级仅限选加一项）。</w:t>
      </w:r>
    </w:p>
    <w:p w14:paraId="032D78B6">
      <w:pPr>
        <w:snapToGrid w:val="0"/>
        <w:spacing w:line="360" w:lineRule="auto"/>
        <w:ind w:firstLine="480" w:firstLineChars="200"/>
        <w:rPr>
          <w:kern w:val="0"/>
          <w:sz w:val="24"/>
        </w:rPr>
      </w:pPr>
      <w:r>
        <w:rPr>
          <w:kern w:val="0"/>
          <w:sz w:val="24"/>
        </w:rPr>
        <w:t>说明：在校期间参加国家英语等级考试通过与否以教育部公布的六级英语等级考试425及以上为准。</w:t>
      </w:r>
    </w:p>
    <w:p w14:paraId="3A7911CD">
      <w:pPr>
        <w:snapToGrid w:val="0"/>
        <w:spacing w:line="360" w:lineRule="auto"/>
        <w:rPr>
          <w:b/>
          <w:kern w:val="0"/>
          <w:sz w:val="24"/>
        </w:rPr>
      </w:pPr>
      <w:r>
        <w:rPr>
          <w:b/>
          <w:kern w:val="0"/>
          <w:sz w:val="24"/>
        </w:rPr>
        <w:t>2</w:t>
      </w:r>
      <w:r>
        <w:rPr>
          <w:sz w:val="24"/>
        </w:rPr>
        <w:t>．</w:t>
      </w:r>
      <w:r>
        <w:rPr>
          <w:b/>
          <w:kern w:val="0"/>
          <w:sz w:val="24"/>
        </w:rPr>
        <w:t>大学生创新训练计划项目结项</w:t>
      </w:r>
    </w:p>
    <w:p w14:paraId="65D18F08">
      <w:pPr>
        <w:snapToGrid w:val="0"/>
        <w:spacing w:line="360" w:lineRule="auto"/>
        <w:ind w:firstLine="480" w:firstLineChars="200"/>
        <w:rPr>
          <w:sz w:val="24"/>
        </w:rPr>
      </w:pPr>
      <w:r>
        <w:rPr>
          <w:kern w:val="0"/>
          <w:sz w:val="24"/>
        </w:rPr>
        <w:t>（1）</w:t>
      </w:r>
      <w:r>
        <w:rPr>
          <w:sz w:val="24"/>
        </w:rPr>
        <w:t>国家级大学生</w:t>
      </w:r>
      <w:r>
        <w:rPr>
          <w:kern w:val="0"/>
          <w:sz w:val="24"/>
        </w:rPr>
        <w:t>创新训练计划项目</w:t>
      </w:r>
      <w:r>
        <w:rPr>
          <w:sz w:val="24"/>
        </w:rPr>
        <w:t>结项6分/项，每项项目只计算排名前5位的成员。</w:t>
      </w:r>
    </w:p>
    <w:p w14:paraId="4FB4BF80">
      <w:pPr>
        <w:snapToGrid w:val="0"/>
        <w:spacing w:line="360" w:lineRule="auto"/>
        <w:ind w:firstLine="480" w:firstLineChars="200"/>
        <w:rPr>
          <w:sz w:val="24"/>
        </w:rPr>
      </w:pPr>
      <w:r>
        <w:rPr>
          <w:sz w:val="24"/>
        </w:rPr>
        <w:t>（2）省级大学生</w:t>
      </w:r>
      <w:r>
        <w:rPr>
          <w:kern w:val="0"/>
          <w:sz w:val="24"/>
        </w:rPr>
        <w:t>创新训练计划项目</w:t>
      </w:r>
      <w:r>
        <w:rPr>
          <w:sz w:val="24"/>
        </w:rPr>
        <w:t>结项3分/项；每项项目只计算排名前3位的成员。</w:t>
      </w:r>
    </w:p>
    <w:p w14:paraId="442CEDC4">
      <w:pPr>
        <w:snapToGrid w:val="0"/>
        <w:spacing w:line="360" w:lineRule="auto"/>
        <w:ind w:firstLine="480" w:firstLineChars="200"/>
        <w:rPr>
          <w:sz w:val="24"/>
        </w:rPr>
      </w:pPr>
      <w:r>
        <w:rPr>
          <w:sz w:val="24"/>
        </w:rPr>
        <w:t>（3）</w:t>
      </w:r>
      <w:r>
        <w:rPr>
          <w:kern w:val="0"/>
          <w:sz w:val="24"/>
        </w:rPr>
        <w:t>校级大学生创新训练计划项目</w:t>
      </w:r>
      <w:r>
        <w:rPr>
          <w:sz w:val="24"/>
        </w:rPr>
        <w:t>结项1分/项；每项项目只计算排名前2位的成员。</w:t>
      </w:r>
    </w:p>
    <w:p w14:paraId="0EE9E107">
      <w:pPr>
        <w:snapToGrid w:val="0"/>
        <w:spacing w:line="360" w:lineRule="auto"/>
        <w:ind w:firstLine="480" w:firstLineChars="200"/>
        <w:rPr>
          <w:kern w:val="0"/>
          <w:sz w:val="24"/>
        </w:rPr>
      </w:pPr>
      <w:r>
        <w:rPr>
          <w:sz w:val="24"/>
        </w:rPr>
        <w:t>同一项目获不同级别的资助，按最高分只计算一次。</w:t>
      </w:r>
    </w:p>
    <w:p w14:paraId="649366C2">
      <w:pPr>
        <w:snapToGrid w:val="0"/>
        <w:spacing w:line="360" w:lineRule="auto"/>
        <w:rPr>
          <w:sz w:val="24"/>
        </w:rPr>
      </w:pPr>
      <w:r>
        <w:rPr>
          <w:sz w:val="24"/>
        </w:rPr>
        <w:t>3．</w:t>
      </w:r>
      <w:r>
        <w:rPr>
          <w:b/>
          <w:bCs/>
          <w:sz w:val="24"/>
        </w:rPr>
        <w:t>科技竞赛获奖</w:t>
      </w:r>
      <w:r>
        <w:rPr>
          <w:sz w:val="24"/>
        </w:rPr>
        <w:t>（按照兰州理工大学学科竞赛级别认定清单2024版的赛事和级别认定）</w:t>
      </w:r>
    </w:p>
    <w:p w14:paraId="435B0F47">
      <w:pPr>
        <w:snapToGrid w:val="0"/>
        <w:spacing w:line="360" w:lineRule="auto"/>
        <w:ind w:firstLine="480" w:firstLineChars="200"/>
        <w:rPr>
          <w:sz w:val="24"/>
        </w:rPr>
      </w:pPr>
      <w:r>
        <w:rPr>
          <w:sz w:val="24"/>
        </w:rPr>
        <w:t>（1）国家级奖：一等奖6分/项，二等奖4分/项，三等奖3分/项；每项获奖作品只计算排名前5位的成员。</w:t>
      </w:r>
    </w:p>
    <w:p w14:paraId="014B9225">
      <w:pPr>
        <w:snapToGrid w:val="0"/>
        <w:spacing w:line="360" w:lineRule="auto"/>
        <w:ind w:firstLine="480" w:firstLineChars="200"/>
        <w:rPr>
          <w:sz w:val="24"/>
        </w:rPr>
      </w:pPr>
      <w:r>
        <w:rPr>
          <w:sz w:val="24"/>
        </w:rPr>
        <w:t>（2）省级奖：一等奖3分/项，二等奖2分/项，三等奖1分/项；每项获奖作品只计算排名前3位的成员。</w:t>
      </w:r>
    </w:p>
    <w:p w14:paraId="1BA176AB">
      <w:pPr>
        <w:snapToGrid w:val="0"/>
        <w:spacing w:line="360" w:lineRule="auto"/>
        <w:ind w:firstLine="480" w:firstLineChars="200"/>
        <w:rPr>
          <w:sz w:val="24"/>
        </w:rPr>
      </w:pPr>
      <w:r>
        <w:rPr>
          <w:sz w:val="24"/>
        </w:rPr>
        <w:t>（3）校级奖：一等奖1分/项，二等奖0.6分/项，三等奖0.4分/项；每项获奖作品只计算排名前2位的成员。</w:t>
      </w:r>
    </w:p>
    <w:p w14:paraId="625CDDB2">
      <w:pPr>
        <w:snapToGrid w:val="0"/>
        <w:spacing w:line="360" w:lineRule="auto"/>
        <w:ind w:firstLine="480" w:firstLineChars="200"/>
        <w:rPr>
          <w:sz w:val="24"/>
        </w:rPr>
      </w:pPr>
      <w:r>
        <w:rPr>
          <w:sz w:val="24"/>
        </w:rPr>
        <w:t>同一作品获不同级别的奖项或在不同比赛中获得的奖项，按最高分只计算一次；设特等奖的赛事特等奖、一等奖、二等奖分别按照一等奖、二等奖、三等奖计分。</w:t>
      </w:r>
    </w:p>
    <w:p w14:paraId="6B886128">
      <w:pPr>
        <w:snapToGrid w:val="0"/>
        <w:spacing w:line="360" w:lineRule="auto"/>
        <w:rPr>
          <w:kern w:val="0"/>
          <w:sz w:val="24"/>
        </w:rPr>
      </w:pPr>
      <w:r>
        <w:rPr>
          <w:kern w:val="0"/>
          <w:sz w:val="24"/>
        </w:rPr>
        <w:t>4</w:t>
      </w:r>
      <w:r>
        <w:rPr>
          <w:sz w:val="24"/>
        </w:rPr>
        <w:t>．</w:t>
      </w:r>
      <w:r>
        <w:rPr>
          <w:b/>
          <w:bCs/>
          <w:kern w:val="0"/>
          <w:sz w:val="24"/>
        </w:rPr>
        <w:t>与本专业相关的授权专利</w:t>
      </w:r>
    </w:p>
    <w:p w14:paraId="2123BB82">
      <w:pPr>
        <w:snapToGrid w:val="0"/>
        <w:spacing w:line="360" w:lineRule="auto"/>
        <w:ind w:firstLine="480" w:firstLineChars="200"/>
        <w:rPr>
          <w:sz w:val="24"/>
        </w:rPr>
      </w:pPr>
      <w:r>
        <w:rPr>
          <w:rFonts w:asciiTheme="minorEastAsia" w:hAnsiTheme="minorEastAsia" w:eastAsiaTheme="minorEastAsia"/>
          <w:kern w:val="0"/>
          <w:sz w:val="24"/>
        </w:rPr>
        <w:t>“七国组织”</w:t>
      </w:r>
      <w:r>
        <w:rPr>
          <w:kern w:val="0"/>
          <w:sz w:val="24"/>
        </w:rPr>
        <w:t>认可的国外发明专利、国家发明专利、国防专利，6分/项；专利是在校期间</w:t>
      </w:r>
      <w:r>
        <w:rPr>
          <w:rFonts w:hint="eastAsia"/>
          <w:kern w:val="0"/>
          <w:sz w:val="24"/>
        </w:rPr>
        <w:t>以</w:t>
      </w:r>
      <w:r>
        <w:rPr>
          <w:kern w:val="0"/>
          <w:sz w:val="24"/>
        </w:rPr>
        <w:t>独立或者第一或者与指导老师联合申请并授权，第一发明单位为兰州理工大学，与指导老师联合</w:t>
      </w:r>
      <w:r>
        <w:rPr>
          <w:rFonts w:hint="eastAsia"/>
          <w:kern w:val="0"/>
          <w:sz w:val="24"/>
        </w:rPr>
        <w:t>申报</w:t>
      </w:r>
      <w:r>
        <w:rPr>
          <w:kern w:val="0"/>
          <w:sz w:val="24"/>
        </w:rPr>
        <w:t>的</w:t>
      </w:r>
      <w:r>
        <w:rPr>
          <w:rFonts w:hint="eastAsia"/>
          <w:kern w:val="0"/>
          <w:sz w:val="24"/>
        </w:rPr>
        <w:t>专利</w:t>
      </w:r>
      <w:r>
        <w:rPr>
          <w:kern w:val="0"/>
          <w:sz w:val="24"/>
        </w:rPr>
        <w:t>，限定指导老师为第一</w:t>
      </w:r>
      <w:r>
        <w:rPr>
          <w:rFonts w:hint="eastAsia"/>
          <w:kern w:val="0"/>
          <w:sz w:val="24"/>
        </w:rPr>
        <w:t>发明人</w:t>
      </w:r>
      <w:r>
        <w:rPr>
          <w:kern w:val="0"/>
          <w:sz w:val="24"/>
        </w:rPr>
        <w:t>，学生为第二</w:t>
      </w:r>
      <w:r>
        <w:rPr>
          <w:rFonts w:hint="eastAsia"/>
          <w:kern w:val="0"/>
          <w:sz w:val="24"/>
        </w:rPr>
        <w:t>发明人，且指导老师应出具推荐信客观陈述学生在联合成果中所做的实际贡献</w:t>
      </w:r>
      <w:r>
        <w:rPr>
          <w:kern w:val="0"/>
          <w:sz w:val="24"/>
        </w:rPr>
        <w:t>。</w:t>
      </w:r>
    </w:p>
    <w:p w14:paraId="6884F898">
      <w:pPr>
        <w:snapToGrid w:val="0"/>
        <w:spacing w:line="360" w:lineRule="auto"/>
        <w:rPr>
          <w:b/>
          <w:kern w:val="0"/>
          <w:sz w:val="24"/>
        </w:rPr>
      </w:pPr>
      <w:r>
        <w:rPr>
          <w:b/>
          <w:kern w:val="0"/>
          <w:sz w:val="24"/>
        </w:rPr>
        <w:t>5</w:t>
      </w:r>
      <w:r>
        <w:rPr>
          <w:sz w:val="24"/>
        </w:rPr>
        <w:t>．</w:t>
      </w:r>
      <w:r>
        <w:rPr>
          <w:b/>
          <w:kern w:val="0"/>
          <w:sz w:val="24"/>
        </w:rPr>
        <w:t>发表</w:t>
      </w:r>
      <w:r>
        <w:rPr>
          <w:b/>
          <w:bCs/>
          <w:kern w:val="0"/>
          <w:sz w:val="24"/>
        </w:rPr>
        <w:t>与学业相关的论文</w:t>
      </w:r>
    </w:p>
    <w:p w14:paraId="46817465">
      <w:pPr>
        <w:snapToGrid w:val="0"/>
        <w:spacing w:line="360" w:lineRule="auto"/>
        <w:ind w:firstLine="480" w:firstLineChars="200"/>
        <w:rPr>
          <w:sz w:val="24"/>
        </w:rPr>
      </w:pPr>
      <w:r>
        <w:rPr>
          <w:kern w:val="0"/>
          <w:sz w:val="24"/>
        </w:rPr>
        <w:t>（1）自然科学类A1论文，60分/篇</w:t>
      </w:r>
      <w:r>
        <w:rPr>
          <w:sz w:val="24"/>
        </w:rPr>
        <w:t>。</w:t>
      </w:r>
    </w:p>
    <w:p w14:paraId="74458130">
      <w:pPr>
        <w:snapToGrid w:val="0"/>
        <w:spacing w:line="360" w:lineRule="auto"/>
        <w:ind w:firstLine="480" w:firstLineChars="200"/>
        <w:rPr>
          <w:sz w:val="24"/>
        </w:rPr>
      </w:pPr>
      <w:r>
        <w:rPr>
          <w:kern w:val="0"/>
          <w:sz w:val="24"/>
        </w:rPr>
        <w:t>（2）自然科学类A2论文，20分/篇</w:t>
      </w:r>
      <w:r>
        <w:rPr>
          <w:sz w:val="24"/>
        </w:rPr>
        <w:t>。</w:t>
      </w:r>
    </w:p>
    <w:p w14:paraId="3552ECD2">
      <w:pPr>
        <w:snapToGrid w:val="0"/>
        <w:spacing w:line="360" w:lineRule="auto"/>
        <w:ind w:firstLine="480" w:firstLineChars="200"/>
        <w:rPr>
          <w:sz w:val="24"/>
        </w:rPr>
      </w:pPr>
      <w:r>
        <w:rPr>
          <w:kern w:val="0"/>
          <w:sz w:val="24"/>
        </w:rPr>
        <w:t>（3）自然科学类A3论文，6分/篇</w:t>
      </w:r>
      <w:r>
        <w:rPr>
          <w:sz w:val="24"/>
        </w:rPr>
        <w:t>。</w:t>
      </w:r>
    </w:p>
    <w:p w14:paraId="621714A5">
      <w:pPr>
        <w:snapToGrid w:val="0"/>
        <w:spacing w:line="360" w:lineRule="auto"/>
        <w:ind w:firstLine="480" w:firstLineChars="200"/>
        <w:rPr>
          <w:kern w:val="0"/>
          <w:sz w:val="24"/>
        </w:rPr>
      </w:pPr>
      <w:r>
        <w:rPr>
          <w:kern w:val="0"/>
          <w:sz w:val="24"/>
        </w:rPr>
        <w:t>（4）中文核心期刊（B类），3分/篇</w:t>
      </w:r>
      <w:r>
        <w:rPr>
          <w:sz w:val="24"/>
        </w:rPr>
        <w:t>。</w:t>
      </w:r>
    </w:p>
    <w:p w14:paraId="133EA8EE">
      <w:pPr>
        <w:snapToGrid w:val="0"/>
        <w:spacing w:line="360" w:lineRule="auto"/>
        <w:ind w:firstLine="480" w:firstLineChars="200"/>
        <w:rPr>
          <w:kern w:val="0"/>
          <w:sz w:val="24"/>
        </w:rPr>
      </w:pPr>
      <w:r>
        <w:rPr>
          <w:kern w:val="0"/>
          <w:sz w:val="24"/>
        </w:rPr>
        <w:t>论文级别按照学校科技处高质量期刊认定办法认定，在SCI/EI期刊发表论文需出具检索报告，否则按中文核心计算，</w:t>
      </w:r>
      <w:r>
        <w:rPr>
          <w:b/>
          <w:kern w:val="0"/>
          <w:sz w:val="24"/>
        </w:rPr>
        <w:t>论文须见刊或网络优先出版</w:t>
      </w:r>
      <w:r>
        <w:rPr>
          <w:kern w:val="0"/>
          <w:sz w:val="24"/>
        </w:rPr>
        <w:t>。论文应是学生本科阶段以</w:t>
      </w:r>
      <w:r>
        <w:rPr>
          <w:b/>
          <w:kern w:val="0"/>
          <w:sz w:val="24"/>
        </w:rPr>
        <w:t>兰州理工大学为第一单位、独立作者或者第一作者或者与指导老师联合发表与学业相关的科研论文</w:t>
      </w:r>
      <w:r>
        <w:rPr>
          <w:kern w:val="0"/>
          <w:sz w:val="24"/>
        </w:rPr>
        <w:t>，与指导老师联合发表的论文，限定指导老师为第一作者，学生为第二作者</w:t>
      </w:r>
      <w:r>
        <w:rPr>
          <w:rFonts w:hint="eastAsia"/>
          <w:kern w:val="0"/>
          <w:sz w:val="24"/>
        </w:rPr>
        <w:t>，且指导老师应出具推荐信客观陈述学生在联合成果中所做的实际贡献</w:t>
      </w:r>
      <w:r>
        <w:rPr>
          <w:kern w:val="0"/>
          <w:sz w:val="24"/>
        </w:rPr>
        <w:t>。学生与其亲属及其他利益相关者合作的科研成果原则上不纳入加分指标认定范围。</w:t>
      </w:r>
    </w:p>
    <w:p w14:paraId="3E516282">
      <w:pPr>
        <w:snapToGrid w:val="0"/>
        <w:spacing w:line="360" w:lineRule="auto"/>
        <w:rPr>
          <w:kern w:val="0"/>
          <w:sz w:val="24"/>
        </w:rPr>
      </w:pPr>
      <w:r>
        <w:rPr>
          <w:kern w:val="0"/>
          <w:sz w:val="24"/>
        </w:rPr>
        <w:t>6</w:t>
      </w:r>
      <w:r>
        <w:rPr>
          <w:sz w:val="24"/>
        </w:rPr>
        <w:t>．</w:t>
      </w:r>
      <w:r>
        <w:rPr>
          <w:kern w:val="0"/>
          <w:sz w:val="24"/>
        </w:rPr>
        <w:t>2-3条中</w:t>
      </w:r>
      <w:r>
        <w:rPr>
          <w:sz w:val="24"/>
        </w:rPr>
        <w:t>各项成果计分</w:t>
      </w:r>
      <w:r>
        <w:rPr>
          <w:kern w:val="0"/>
          <w:sz w:val="24"/>
        </w:rPr>
        <w:t>按作者排名相应折减。</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4"/>
        <w:gridCol w:w="851"/>
        <w:gridCol w:w="851"/>
        <w:gridCol w:w="851"/>
        <w:gridCol w:w="851"/>
        <w:gridCol w:w="851"/>
      </w:tblGrid>
      <w:tr w14:paraId="1E482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Borders>
              <w:top w:val="single" w:color="auto" w:sz="4" w:space="0"/>
              <w:left w:val="single" w:color="auto" w:sz="4" w:space="0"/>
              <w:bottom w:val="single" w:color="auto" w:sz="4" w:space="0"/>
              <w:right w:val="single" w:color="auto" w:sz="4" w:space="0"/>
            </w:tcBorders>
            <w:shd w:val="clear" w:color="auto" w:fill="FFFFFF"/>
          </w:tcPr>
          <w:p w14:paraId="063E3AA7">
            <w:pPr>
              <w:widowControl/>
              <w:spacing w:line="360" w:lineRule="auto"/>
              <w:jc w:val="center"/>
              <w:rPr>
                <w:kern w:val="0"/>
                <w:szCs w:val="21"/>
              </w:rPr>
            </w:pPr>
            <w:r>
              <w:rPr>
                <w:kern w:val="0"/>
                <w:szCs w:val="21"/>
              </w:rPr>
              <w:t>排   名</w:t>
            </w:r>
          </w:p>
        </w:tc>
        <w:tc>
          <w:tcPr>
            <w:tcW w:w="851" w:type="dxa"/>
            <w:tcBorders>
              <w:top w:val="single" w:color="auto" w:sz="4" w:space="0"/>
              <w:left w:val="single" w:color="auto" w:sz="4" w:space="0"/>
              <w:bottom w:val="single" w:color="auto" w:sz="4" w:space="0"/>
              <w:right w:val="single" w:color="auto" w:sz="4" w:space="0"/>
            </w:tcBorders>
            <w:shd w:val="clear" w:color="auto" w:fill="FFFFFF"/>
          </w:tcPr>
          <w:p w14:paraId="59F255A1">
            <w:pPr>
              <w:widowControl/>
              <w:spacing w:line="360" w:lineRule="auto"/>
              <w:jc w:val="center"/>
              <w:rPr>
                <w:kern w:val="0"/>
                <w:szCs w:val="21"/>
              </w:rPr>
            </w:pPr>
            <w:r>
              <w:rPr>
                <w:kern w:val="0"/>
                <w:szCs w:val="21"/>
              </w:rPr>
              <w:t>1</w:t>
            </w:r>
          </w:p>
        </w:tc>
        <w:tc>
          <w:tcPr>
            <w:tcW w:w="851" w:type="dxa"/>
            <w:tcBorders>
              <w:top w:val="single" w:color="auto" w:sz="4" w:space="0"/>
              <w:left w:val="single" w:color="auto" w:sz="4" w:space="0"/>
              <w:bottom w:val="single" w:color="auto" w:sz="4" w:space="0"/>
              <w:right w:val="single" w:color="auto" w:sz="4" w:space="0"/>
            </w:tcBorders>
            <w:shd w:val="clear" w:color="auto" w:fill="FFFFFF"/>
          </w:tcPr>
          <w:p w14:paraId="1B4311A3">
            <w:pPr>
              <w:widowControl/>
              <w:spacing w:line="360" w:lineRule="auto"/>
              <w:jc w:val="center"/>
              <w:rPr>
                <w:kern w:val="0"/>
                <w:szCs w:val="21"/>
              </w:rPr>
            </w:pPr>
            <w:r>
              <w:rPr>
                <w:kern w:val="0"/>
                <w:szCs w:val="21"/>
              </w:rPr>
              <w:t>2</w:t>
            </w:r>
          </w:p>
        </w:tc>
        <w:tc>
          <w:tcPr>
            <w:tcW w:w="851" w:type="dxa"/>
            <w:tcBorders>
              <w:top w:val="single" w:color="auto" w:sz="4" w:space="0"/>
              <w:left w:val="single" w:color="auto" w:sz="4" w:space="0"/>
              <w:bottom w:val="single" w:color="auto" w:sz="4" w:space="0"/>
              <w:right w:val="single" w:color="auto" w:sz="4" w:space="0"/>
            </w:tcBorders>
            <w:shd w:val="clear" w:color="auto" w:fill="FFFFFF"/>
          </w:tcPr>
          <w:p w14:paraId="27CFB3B2">
            <w:pPr>
              <w:widowControl/>
              <w:spacing w:line="360" w:lineRule="auto"/>
              <w:jc w:val="center"/>
              <w:rPr>
                <w:kern w:val="0"/>
                <w:szCs w:val="21"/>
              </w:rPr>
            </w:pPr>
            <w:r>
              <w:rPr>
                <w:kern w:val="0"/>
                <w:szCs w:val="21"/>
              </w:rPr>
              <w:t>3</w:t>
            </w:r>
          </w:p>
        </w:tc>
        <w:tc>
          <w:tcPr>
            <w:tcW w:w="851" w:type="dxa"/>
            <w:tcBorders>
              <w:top w:val="single" w:color="auto" w:sz="4" w:space="0"/>
              <w:left w:val="single" w:color="auto" w:sz="4" w:space="0"/>
              <w:bottom w:val="single" w:color="auto" w:sz="4" w:space="0"/>
              <w:right w:val="single" w:color="auto" w:sz="4" w:space="0"/>
            </w:tcBorders>
            <w:shd w:val="clear" w:color="auto" w:fill="FFFFFF"/>
          </w:tcPr>
          <w:p w14:paraId="6DB0A87C">
            <w:pPr>
              <w:widowControl/>
              <w:spacing w:line="360" w:lineRule="auto"/>
              <w:jc w:val="center"/>
              <w:rPr>
                <w:kern w:val="0"/>
                <w:szCs w:val="21"/>
              </w:rPr>
            </w:pPr>
            <w:r>
              <w:rPr>
                <w:kern w:val="0"/>
                <w:szCs w:val="21"/>
              </w:rPr>
              <w:t>4</w:t>
            </w:r>
          </w:p>
        </w:tc>
        <w:tc>
          <w:tcPr>
            <w:tcW w:w="851" w:type="dxa"/>
            <w:tcBorders>
              <w:top w:val="single" w:color="auto" w:sz="4" w:space="0"/>
              <w:left w:val="single" w:color="auto" w:sz="4" w:space="0"/>
              <w:bottom w:val="single" w:color="auto" w:sz="4" w:space="0"/>
              <w:right w:val="single" w:color="auto" w:sz="4" w:space="0"/>
            </w:tcBorders>
            <w:shd w:val="clear" w:color="auto" w:fill="FFFFFF"/>
          </w:tcPr>
          <w:p w14:paraId="2EABD614">
            <w:pPr>
              <w:widowControl/>
              <w:spacing w:line="360" w:lineRule="auto"/>
              <w:jc w:val="center"/>
              <w:rPr>
                <w:kern w:val="0"/>
                <w:szCs w:val="21"/>
              </w:rPr>
            </w:pPr>
            <w:r>
              <w:rPr>
                <w:kern w:val="0"/>
                <w:szCs w:val="21"/>
              </w:rPr>
              <w:t>5</w:t>
            </w:r>
          </w:p>
        </w:tc>
      </w:tr>
      <w:tr w14:paraId="516E5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Borders>
              <w:top w:val="single" w:color="auto" w:sz="4" w:space="0"/>
              <w:left w:val="single" w:color="auto" w:sz="4" w:space="0"/>
              <w:bottom w:val="single" w:color="auto" w:sz="4" w:space="0"/>
              <w:right w:val="single" w:color="auto" w:sz="4" w:space="0"/>
            </w:tcBorders>
            <w:shd w:val="clear" w:color="auto" w:fill="FFFFFF"/>
          </w:tcPr>
          <w:p w14:paraId="05D151D9">
            <w:pPr>
              <w:widowControl/>
              <w:spacing w:line="360" w:lineRule="auto"/>
              <w:jc w:val="center"/>
              <w:rPr>
                <w:kern w:val="0"/>
                <w:szCs w:val="21"/>
              </w:rPr>
            </w:pPr>
            <w:r>
              <w:rPr>
                <w:kern w:val="0"/>
                <w:szCs w:val="21"/>
              </w:rPr>
              <w:t>折减系数</w:t>
            </w:r>
          </w:p>
        </w:tc>
        <w:tc>
          <w:tcPr>
            <w:tcW w:w="851" w:type="dxa"/>
            <w:tcBorders>
              <w:top w:val="single" w:color="auto" w:sz="4" w:space="0"/>
              <w:left w:val="single" w:color="auto" w:sz="4" w:space="0"/>
              <w:bottom w:val="single" w:color="auto" w:sz="4" w:space="0"/>
              <w:right w:val="single" w:color="auto" w:sz="4" w:space="0"/>
            </w:tcBorders>
            <w:shd w:val="clear" w:color="auto" w:fill="FFFFFF"/>
          </w:tcPr>
          <w:p w14:paraId="1720CC0A">
            <w:pPr>
              <w:widowControl/>
              <w:spacing w:line="360" w:lineRule="auto"/>
              <w:jc w:val="center"/>
              <w:rPr>
                <w:kern w:val="0"/>
                <w:szCs w:val="21"/>
              </w:rPr>
            </w:pPr>
            <w:r>
              <w:rPr>
                <w:kern w:val="0"/>
                <w:szCs w:val="21"/>
              </w:rPr>
              <w:t>1</w:t>
            </w:r>
          </w:p>
        </w:tc>
        <w:tc>
          <w:tcPr>
            <w:tcW w:w="851" w:type="dxa"/>
            <w:tcBorders>
              <w:top w:val="single" w:color="auto" w:sz="4" w:space="0"/>
              <w:left w:val="single" w:color="auto" w:sz="4" w:space="0"/>
              <w:bottom w:val="single" w:color="auto" w:sz="4" w:space="0"/>
              <w:right w:val="single" w:color="auto" w:sz="4" w:space="0"/>
            </w:tcBorders>
            <w:shd w:val="clear" w:color="auto" w:fill="FFFFFF"/>
          </w:tcPr>
          <w:p w14:paraId="7B762228">
            <w:pPr>
              <w:widowControl/>
              <w:spacing w:line="360" w:lineRule="auto"/>
              <w:jc w:val="center"/>
              <w:rPr>
                <w:kern w:val="0"/>
                <w:szCs w:val="21"/>
              </w:rPr>
            </w:pPr>
            <w:r>
              <w:rPr>
                <w:kern w:val="0"/>
                <w:szCs w:val="21"/>
              </w:rPr>
              <w:t>0.6</w:t>
            </w:r>
          </w:p>
        </w:tc>
        <w:tc>
          <w:tcPr>
            <w:tcW w:w="851" w:type="dxa"/>
            <w:tcBorders>
              <w:top w:val="single" w:color="auto" w:sz="4" w:space="0"/>
              <w:left w:val="single" w:color="auto" w:sz="4" w:space="0"/>
              <w:bottom w:val="single" w:color="auto" w:sz="4" w:space="0"/>
              <w:right w:val="single" w:color="auto" w:sz="4" w:space="0"/>
            </w:tcBorders>
            <w:shd w:val="clear" w:color="auto" w:fill="FFFFFF"/>
          </w:tcPr>
          <w:p w14:paraId="2AAD5A5B">
            <w:pPr>
              <w:widowControl/>
              <w:spacing w:line="360" w:lineRule="auto"/>
              <w:jc w:val="center"/>
              <w:rPr>
                <w:kern w:val="0"/>
                <w:szCs w:val="21"/>
              </w:rPr>
            </w:pPr>
            <w:r>
              <w:rPr>
                <w:kern w:val="0"/>
                <w:szCs w:val="21"/>
              </w:rPr>
              <w:t>0.4</w:t>
            </w:r>
          </w:p>
        </w:tc>
        <w:tc>
          <w:tcPr>
            <w:tcW w:w="851" w:type="dxa"/>
            <w:tcBorders>
              <w:top w:val="single" w:color="auto" w:sz="4" w:space="0"/>
              <w:left w:val="single" w:color="auto" w:sz="4" w:space="0"/>
              <w:bottom w:val="single" w:color="auto" w:sz="4" w:space="0"/>
              <w:right w:val="single" w:color="auto" w:sz="4" w:space="0"/>
            </w:tcBorders>
            <w:shd w:val="clear" w:color="auto" w:fill="FFFFFF"/>
          </w:tcPr>
          <w:p w14:paraId="4EAF2B1D">
            <w:pPr>
              <w:widowControl/>
              <w:spacing w:line="360" w:lineRule="auto"/>
              <w:jc w:val="center"/>
              <w:rPr>
                <w:kern w:val="0"/>
                <w:szCs w:val="21"/>
              </w:rPr>
            </w:pPr>
            <w:r>
              <w:rPr>
                <w:kern w:val="0"/>
                <w:szCs w:val="21"/>
              </w:rPr>
              <w:t>0.2</w:t>
            </w:r>
          </w:p>
        </w:tc>
        <w:tc>
          <w:tcPr>
            <w:tcW w:w="851" w:type="dxa"/>
            <w:tcBorders>
              <w:top w:val="single" w:color="auto" w:sz="4" w:space="0"/>
              <w:left w:val="single" w:color="auto" w:sz="4" w:space="0"/>
              <w:bottom w:val="single" w:color="auto" w:sz="4" w:space="0"/>
              <w:right w:val="single" w:color="auto" w:sz="4" w:space="0"/>
            </w:tcBorders>
            <w:shd w:val="clear" w:color="auto" w:fill="FFFFFF"/>
          </w:tcPr>
          <w:p w14:paraId="16ED6ABB">
            <w:pPr>
              <w:widowControl/>
              <w:spacing w:line="360" w:lineRule="auto"/>
              <w:jc w:val="center"/>
              <w:rPr>
                <w:kern w:val="0"/>
                <w:szCs w:val="21"/>
              </w:rPr>
            </w:pPr>
            <w:r>
              <w:rPr>
                <w:kern w:val="0"/>
                <w:szCs w:val="21"/>
              </w:rPr>
              <w:t>0.1</w:t>
            </w:r>
          </w:p>
        </w:tc>
      </w:tr>
    </w:tbl>
    <w:p w14:paraId="4B3F6827">
      <w:pPr>
        <w:snapToGrid w:val="0"/>
        <w:spacing w:line="360" w:lineRule="auto"/>
        <w:rPr>
          <w:b/>
        </w:rPr>
      </w:pPr>
      <w:r>
        <w:rPr>
          <w:b/>
          <w:kern w:val="0"/>
          <w:sz w:val="24"/>
        </w:rPr>
        <w:t>7、</w:t>
      </w:r>
      <w:r>
        <w:rPr>
          <w:b/>
          <w:sz w:val="24"/>
        </w:rPr>
        <w:t>创新素质奖励提交的材料中，存在弄虚作假、学术不端等情况时，本人的创新素质奖励分以零分计，并取消本人的推免资格。</w:t>
      </w:r>
    </w:p>
    <w:p w14:paraId="7506599D">
      <w:pPr>
        <w:widowControl/>
        <w:spacing w:line="360" w:lineRule="auto"/>
        <w:jc w:val="left"/>
        <w:rPr>
          <w:b/>
          <w:bCs/>
          <w:sz w:val="30"/>
          <w:szCs w:val="30"/>
        </w:rPr>
      </w:pPr>
      <w:r>
        <w:rPr>
          <w:b/>
          <w:bCs/>
          <w:sz w:val="30"/>
          <w:szCs w:val="30"/>
        </w:rPr>
        <w:t>四、推免名额</w:t>
      </w:r>
    </w:p>
    <w:p w14:paraId="47E1BF27">
      <w:pPr>
        <w:snapToGrid w:val="0"/>
        <w:spacing w:line="360" w:lineRule="auto"/>
        <w:ind w:firstLine="480" w:firstLineChars="200"/>
        <w:rPr>
          <w:sz w:val="24"/>
        </w:rPr>
      </w:pPr>
      <w:r>
        <w:rPr>
          <w:sz w:val="24"/>
        </w:rPr>
        <w:t>根据学校分配到能源与动力工程学院的2026年优秀应届本科毕业生免试攻读硕士研究生名额，按照本院本科专业班级学生数量，考虑向基地班、卓越班倾斜，确定各专业具体分配推免名额。2026年能源与动力工程学院推免名额共24人，各专业推荐名额分配如下：</w:t>
      </w:r>
    </w:p>
    <w:p w14:paraId="5D61C81E">
      <w:pPr>
        <w:snapToGrid w:val="0"/>
        <w:spacing w:line="360" w:lineRule="auto"/>
        <w:ind w:firstLine="720" w:firstLineChars="300"/>
        <w:rPr>
          <w:sz w:val="24"/>
        </w:rPr>
      </w:pPr>
      <w:r>
        <w:rPr>
          <w:sz w:val="24"/>
        </w:rPr>
        <w:t>能源与动力工程：11人</w:t>
      </w:r>
      <w:r>
        <w:rPr>
          <w:rFonts w:hint="eastAsia"/>
          <w:sz w:val="24"/>
        </w:rPr>
        <w:t>（其中卓越班专项3人）</w:t>
      </w:r>
      <w:r>
        <w:rPr>
          <w:sz w:val="24"/>
        </w:rPr>
        <w:t>；</w:t>
      </w:r>
    </w:p>
    <w:p w14:paraId="465D3BEC">
      <w:pPr>
        <w:snapToGrid w:val="0"/>
        <w:spacing w:line="360" w:lineRule="auto"/>
        <w:ind w:firstLine="720" w:firstLineChars="300"/>
        <w:rPr>
          <w:sz w:val="24"/>
        </w:rPr>
      </w:pPr>
      <w:r>
        <w:rPr>
          <w:sz w:val="24"/>
        </w:rPr>
        <w:t>机械电子工程：11人</w:t>
      </w:r>
      <w:r>
        <w:rPr>
          <w:rFonts w:hint="eastAsia"/>
          <w:sz w:val="24"/>
        </w:rPr>
        <w:t>（其中基地班专项4人）</w:t>
      </w:r>
      <w:r>
        <w:rPr>
          <w:sz w:val="24"/>
        </w:rPr>
        <w:t>；</w:t>
      </w:r>
    </w:p>
    <w:p w14:paraId="6006DAB3">
      <w:pPr>
        <w:snapToGrid w:val="0"/>
        <w:spacing w:line="360" w:lineRule="auto"/>
        <w:ind w:firstLine="720" w:firstLineChars="300"/>
        <w:rPr>
          <w:sz w:val="24"/>
        </w:rPr>
      </w:pPr>
      <w:r>
        <w:rPr>
          <w:sz w:val="24"/>
        </w:rPr>
        <w:t>测控技术与仪器：2人</w:t>
      </w:r>
      <w:r>
        <w:rPr>
          <w:rFonts w:hint="eastAsia"/>
          <w:sz w:val="24"/>
        </w:rPr>
        <w:t>。</w:t>
      </w:r>
    </w:p>
    <w:p w14:paraId="4189169C">
      <w:pPr>
        <w:widowControl/>
        <w:spacing w:line="360" w:lineRule="auto"/>
        <w:jc w:val="left"/>
        <w:rPr>
          <w:b/>
          <w:bCs/>
          <w:sz w:val="30"/>
          <w:szCs w:val="30"/>
        </w:rPr>
      </w:pPr>
      <w:r>
        <w:rPr>
          <w:b/>
          <w:bCs/>
          <w:sz w:val="30"/>
          <w:szCs w:val="30"/>
        </w:rPr>
        <w:t>五、推免工作程序和完成时间</w:t>
      </w:r>
    </w:p>
    <w:p w14:paraId="1C619FB7">
      <w:pPr>
        <w:snapToGrid w:val="0"/>
        <w:spacing w:line="360" w:lineRule="auto"/>
        <w:ind w:firstLine="480" w:firstLineChars="200"/>
        <w:rPr>
          <w:sz w:val="24"/>
        </w:rPr>
      </w:pPr>
      <w:r>
        <w:rPr>
          <w:sz w:val="24"/>
        </w:rPr>
        <w:t>1．9月7日，学生工作办公室向全体本科毕业生宣讲推荐免试生的基本原则、条件、工作细则和日程安排。教学管理办公室测算学生前三年平均学习成绩及排名，选拔程序和结果都要公开透明，符合推免条件的学生向学院提交书面申请材料，包括推免生申请表、三年学习成绩表（加盖教务处公章）、外语四、六级成绩单原件及复印件、在校期间公开发表的论文及各类获奖证书原件及复印件。</w:t>
      </w:r>
    </w:p>
    <w:p w14:paraId="29E76378">
      <w:pPr>
        <w:snapToGrid w:val="0"/>
        <w:spacing w:line="360" w:lineRule="auto"/>
        <w:ind w:firstLine="480" w:firstLineChars="200"/>
        <w:rPr>
          <w:sz w:val="24"/>
        </w:rPr>
      </w:pPr>
      <w:r>
        <w:rPr>
          <w:sz w:val="24"/>
        </w:rPr>
        <w:t>2．9月8日，学院汇集申请推免学生的申请表和资料，组织专家审核小组进行材料审核，审核合格同学的资料交由各系，由各系根据分配名额确定推荐名单。推荐结果报学院推免领导工作小组审定，按照推免名额确定本学院拟推荐学生名单并进行张榜公示。</w:t>
      </w:r>
    </w:p>
    <w:p w14:paraId="6357ABEB">
      <w:pPr>
        <w:snapToGrid w:val="0"/>
        <w:spacing w:line="360" w:lineRule="auto"/>
        <w:ind w:firstLine="480" w:firstLineChars="200"/>
        <w:rPr>
          <w:sz w:val="24"/>
        </w:rPr>
      </w:pPr>
      <w:r>
        <w:rPr>
          <w:sz w:val="24"/>
        </w:rPr>
        <w:t>3．9月11日，学院将拟推荐学生名单上报教务处（上报材料包括推免情况汇总表、推免生申请表、前三年学习成绩表以及创新素质奖励分的依据等证明材料的复印件）。</w:t>
      </w:r>
    </w:p>
    <w:p w14:paraId="6E419C4B">
      <w:pPr>
        <w:snapToGrid w:val="0"/>
        <w:spacing w:line="360" w:lineRule="auto"/>
        <w:ind w:firstLine="480" w:firstLineChars="200"/>
        <w:rPr>
          <w:sz w:val="24"/>
        </w:rPr>
      </w:pPr>
      <w:r>
        <w:rPr>
          <w:sz w:val="24"/>
        </w:rPr>
        <w:t>4．9月20日前，未获得外校录取通知的推荐学生，需向本校相关专业提出推免申请。</w:t>
      </w:r>
    </w:p>
    <w:p w14:paraId="336024C0">
      <w:pPr>
        <w:snapToGrid w:val="0"/>
        <w:spacing w:line="360" w:lineRule="auto"/>
        <w:ind w:firstLine="480" w:firstLineChars="200"/>
        <w:rPr>
          <w:sz w:val="24"/>
        </w:rPr>
      </w:pPr>
      <w:r>
        <w:rPr>
          <w:sz w:val="24"/>
        </w:rPr>
        <w:t>获得本院2026年推免资格学生及时关注学院、学校相关通知</w:t>
      </w:r>
      <w:r>
        <w:rPr>
          <w:rFonts w:hint="eastAsia"/>
          <w:sz w:val="24"/>
        </w:rPr>
        <w:t>，按</w:t>
      </w:r>
      <w:r>
        <w:rPr>
          <w:sz w:val="24"/>
        </w:rPr>
        <w:t>规定办理手续。</w:t>
      </w:r>
    </w:p>
    <w:p w14:paraId="3853DC27">
      <w:pPr>
        <w:spacing w:line="360" w:lineRule="auto"/>
        <w:rPr>
          <w:b/>
          <w:bCs/>
          <w:sz w:val="30"/>
          <w:szCs w:val="30"/>
        </w:rPr>
      </w:pPr>
      <w:r>
        <w:rPr>
          <w:b/>
          <w:bCs/>
          <w:sz w:val="30"/>
          <w:szCs w:val="30"/>
        </w:rPr>
        <w:t>六、注意事项</w:t>
      </w:r>
    </w:p>
    <w:p w14:paraId="26A0D1D9">
      <w:pPr>
        <w:snapToGrid w:val="0"/>
        <w:spacing w:line="360" w:lineRule="auto"/>
        <w:ind w:firstLine="480" w:firstLineChars="200"/>
        <w:rPr>
          <w:sz w:val="24"/>
        </w:rPr>
      </w:pPr>
      <w:r>
        <w:rPr>
          <w:sz w:val="24"/>
        </w:rPr>
        <w:t>1．推免工作必须做到公平、公开、公正,对公示的内容有异议的，可在公示期间向推免生遴选工作领导小组反映，复议程序按照《兰州理工大学推荐优秀应届本科毕业生免试攻读硕士学位研究生工作实施办法 (试行)》执行。</w:t>
      </w:r>
    </w:p>
    <w:p w14:paraId="3E7D1BA7">
      <w:pPr>
        <w:snapToGrid w:val="0"/>
        <w:spacing w:line="360" w:lineRule="auto"/>
        <w:ind w:firstLine="480" w:firstLineChars="200"/>
        <w:rPr>
          <w:sz w:val="24"/>
        </w:rPr>
      </w:pPr>
      <w:r>
        <w:rPr>
          <w:sz w:val="24"/>
        </w:rPr>
        <w:t>2．确保推免生质量，严防弄虚作假。对在申请推免过程中弄虚作假的学生，一经发现，即取消推免生资格。对已录取者取消录取资格和学籍，并按我校学生管理规定进行相应处理。对涉及到的工作人员，按照学校规定严肃处理，严重的追究法律责任。</w:t>
      </w:r>
    </w:p>
    <w:p w14:paraId="23D76A90">
      <w:pPr>
        <w:snapToGrid w:val="0"/>
        <w:spacing w:line="360" w:lineRule="auto"/>
        <w:ind w:firstLine="480" w:firstLineChars="200"/>
        <w:rPr>
          <w:sz w:val="24"/>
        </w:rPr>
      </w:pPr>
      <w:r>
        <w:rPr>
          <w:sz w:val="24"/>
        </w:rPr>
        <w:t>3．根据学校文件要求，已获得推免资格的学生，如放弃推免资格，学校将在该生个人档案中注明不诚信记录并函告其被录用的国内外院校或用人单位(获国家公派出国留学资格者除外)。</w:t>
      </w:r>
    </w:p>
    <w:p w14:paraId="52883711">
      <w:pPr>
        <w:snapToGrid w:val="0"/>
        <w:spacing w:after="156" w:afterLines="50"/>
        <w:ind w:firstLine="480" w:firstLineChars="200"/>
        <w:rPr>
          <w:sz w:val="24"/>
        </w:rPr>
      </w:pPr>
      <w:r>
        <w:rPr>
          <w:sz w:val="24"/>
        </w:rPr>
        <w:t>4．本通知未尽事宜，由学院推免生遴选工作领导小组负责解释。</w:t>
      </w:r>
    </w:p>
    <w:p w14:paraId="54382CA9">
      <w:pPr>
        <w:snapToGrid w:val="0"/>
        <w:spacing w:after="156" w:afterLines="50"/>
        <w:ind w:firstLine="480" w:firstLineChars="200"/>
        <w:rPr>
          <w:sz w:val="24"/>
        </w:rPr>
      </w:pPr>
    </w:p>
    <w:p w14:paraId="532A05DD">
      <w:pPr>
        <w:snapToGrid w:val="0"/>
        <w:spacing w:after="156" w:afterLines="50"/>
        <w:ind w:firstLine="480" w:firstLineChars="200"/>
        <w:rPr>
          <w:sz w:val="24"/>
        </w:rPr>
      </w:pPr>
      <w:r>
        <w:rPr>
          <w:sz w:val="24"/>
        </w:rPr>
        <w:t>附件：兰州理工大学优秀本科毕业生免试攻读硕士研究生申请表</w:t>
      </w:r>
    </w:p>
    <w:p w14:paraId="2918098B">
      <w:pPr>
        <w:snapToGrid w:val="0"/>
        <w:spacing w:after="156" w:afterLines="50"/>
        <w:ind w:firstLine="480" w:firstLineChars="200"/>
        <w:rPr>
          <w:sz w:val="24"/>
        </w:rPr>
      </w:pPr>
    </w:p>
    <w:p w14:paraId="6CE08382">
      <w:pPr>
        <w:snapToGrid w:val="0"/>
        <w:ind w:firstLine="240" w:firstLineChars="100"/>
        <w:rPr>
          <w:sz w:val="24"/>
        </w:rPr>
      </w:pPr>
    </w:p>
    <w:p w14:paraId="18A379F1">
      <w:pPr>
        <w:spacing w:line="360" w:lineRule="auto"/>
        <w:jc w:val="center"/>
        <w:rPr>
          <w:sz w:val="24"/>
        </w:rPr>
      </w:pPr>
      <w:r>
        <w:rPr>
          <w:sz w:val="24"/>
        </w:rPr>
        <w:t xml:space="preserve">                兰州理工大学能源与动力工程学院</w:t>
      </w:r>
    </w:p>
    <w:p w14:paraId="07388DFB">
      <w:pPr>
        <w:spacing w:line="360" w:lineRule="auto"/>
        <w:jc w:val="center"/>
        <w:rPr>
          <w:sz w:val="24"/>
        </w:rPr>
      </w:pPr>
      <w:r>
        <w:rPr>
          <w:sz w:val="24"/>
        </w:rPr>
        <w:t xml:space="preserve">                              2025年9月9日</w:t>
      </w:r>
    </w:p>
    <w:p w14:paraId="50FD4176">
      <w:pPr>
        <w:spacing w:line="360" w:lineRule="auto"/>
        <w:rPr>
          <w:sz w:val="24"/>
        </w:rPr>
      </w:pPr>
    </w:p>
    <w:p w14:paraId="2A2C0199">
      <w:pPr>
        <w:spacing w:line="360" w:lineRule="auto"/>
        <w:rPr>
          <w:sz w:val="24"/>
        </w:rPr>
      </w:pPr>
    </w:p>
    <w:p w14:paraId="78D0977F">
      <w:pPr>
        <w:spacing w:line="280" w:lineRule="exact"/>
        <w:rPr>
          <w:sz w:val="24"/>
        </w:rPr>
      </w:pPr>
      <w:bookmarkStart w:id="0" w:name="_GoBack"/>
      <w:bookmarkEnd w:id="0"/>
    </w:p>
    <w:sectPr>
      <w:footerReference r:id="rId3" w:type="default"/>
      <w:pgSz w:w="11906" w:h="16838"/>
      <w:pgMar w:top="2098" w:right="1531" w:bottom="1985"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D3B5F">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7E83C671">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2M1MzlhMDdlMmRiMGE3YTRhNTFiNmNiMTRjM2YyOWYifQ=="/>
  </w:docVars>
  <w:rsids>
    <w:rsidRoot w:val="009557AE"/>
    <w:rsid w:val="000063A4"/>
    <w:rsid w:val="00011BBB"/>
    <w:rsid w:val="0001315B"/>
    <w:rsid w:val="0003064B"/>
    <w:rsid w:val="00033FE3"/>
    <w:rsid w:val="00051BAC"/>
    <w:rsid w:val="000627DA"/>
    <w:rsid w:val="00075424"/>
    <w:rsid w:val="000846DC"/>
    <w:rsid w:val="000926ED"/>
    <w:rsid w:val="00097BEE"/>
    <w:rsid w:val="001441FE"/>
    <w:rsid w:val="00177E1A"/>
    <w:rsid w:val="00177F01"/>
    <w:rsid w:val="001E0B6F"/>
    <w:rsid w:val="00200179"/>
    <w:rsid w:val="0020465F"/>
    <w:rsid w:val="002065C7"/>
    <w:rsid w:val="0021220E"/>
    <w:rsid w:val="00215FFE"/>
    <w:rsid w:val="0026132B"/>
    <w:rsid w:val="00292D5C"/>
    <w:rsid w:val="002A27ED"/>
    <w:rsid w:val="002A321F"/>
    <w:rsid w:val="002C2079"/>
    <w:rsid w:val="00313D78"/>
    <w:rsid w:val="00321E98"/>
    <w:rsid w:val="00345B15"/>
    <w:rsid w:val="0035028F"/>
    <w:rsid w:val="00361E11"/>
    <w:rsid w:val="003714DE"/>
    <w:rsid w:val="00381D13"/>
    <w:rsid w:val="0038640A"/>
    <w:rsid w:val="003B0167"/>
    <w:rsid w:val="003B0363"/>
    <w:rsid w:val="003B1289"/>
    <w:rsid w:val="003B3B2C"/>
    <w:rsid w:val="004034D3"/>
    <w:rsid w:val="00416378"/>
    <w:rsid w:val="0042382B"/>
    <w:rsid w:val="00432031"/>
    <w:rsid w:val="0044642D"/>
    <w:rsid w:val="004649B3"/>
    <w:rsid w:val="00486724"/>
    <w:rsid w:val="00491614"/>
    <w:rsid w:val="004A05E3"/>
    <w:rsid w:val="004A3F50"/>
    <w:rsid w:val="004B1030"/>
    <w:rsid w:val="004E6111"/>
    <w:rsid w:val="004F5AAB"/>
    <w:rsid w:val="004F6960"/>
    <w:rsid w:val="00534A5F"/>
    <w:rsid w:val="005406C8"/>
    <w:rsid w:val="00542BB4"/>
    <w:rsid w:val="00550B1A"/>
    <w:rsid w:val="0056019D"/>
    <w:rsid w:val="005853C0"/>
    <w:rsid w:val="005C32A1"/>
    <w:rsid w:val="00626EC2"/>
    <w:rsid w:val="00635813"/>
    <w:rsid w:val="0064643F"/>
    <w:rsid w:val="006530CB"/>
    <w:rsid w:val="0065602B"/>
    <w:rsid w:val="00691D39"/>
    <w:rsid w:val="006E2E2E"/>
    <w:rsid w:val="00705612"/>
    <w:rsid w:val="00707237"/>
    <w:rsid w:val="0072372A"/>
    <w:rsid w:val="00744003"/>
    <w:rsid w:val="0075261C"/>
    <w:rsid w:val="00762766"/>
    <w:rsid w:val="007714D8"/>
    <w:rsid w:val="00772D52"/>
    <w:rsid w:val="007832B0"/>
    <w:rsid w:val="00793C4B"/>
    <w:rsid w:val="007A0BE1"/>
    <w:rsid w:val="007B3BC3"/>
    <w:rsid w:val="007C7369"/>
    <w:rsid w:val="007E2E94"/>
    <w:rsid w:val="007F0A04"/>
    <w:rsid w:val="0082290C"/>
    <w:rsid w:val="008243F5"/>
    <w:rsid w:val="00835774"/>
    <w:rsid w:val="00844E36"/>
    <w:rsid w:val="00850490"/>
    <w:rsid w:val="00850D64"/>
    <w:rsid w:val="00852447"/>
    <w:rsid w:val="0091112E"/>
    <w:rsid w:val="009557AE"/>
    <w:rsid w:val="00957447"/>
    <w:rsid w:val="00967AED"/>
    <w:rsid w:val="00986227"/>
    <w:rsid w:val="00997293"/>
    <w:rsid w:val="009A4E56"/>
    <w:rsid w:val="009A7D50"/>
    <w:rsid w:val="009D0268"/>
    <w:rsid w:val="009F68B9"/>
    <w:rsid w:val="00A01D30"/>
    <w:rsid w:val="00A37ADD"/>
    <w:rsid w:val="00A76C90"/>
    <w:rsid w:val="00A837F7"/>
    <w:rsid w:val="00A957E1"/>
    <w:rsid w:val="00AA6E03"/>
    <w:rsid w:val="00AD3C9F"/>
    <w:rsid w:val="00B00423"/>
    <w:rsid w:val="00B047F6"/>
    <w:rsid w:val="00B14ED8"/>
    <w:rsid w:val="00B337F3"/>
    <w:rsid w:val="00B55509"/>
    <w:rsid w:val="00B664BB"/>
    <w:rsid w:val="00BB1385"/>
    <w:rsid w:val="00BD1CE9"/>
    <w:rsid w:val="00C039FD"/>
    <w:rsid w:val="00C07512"/>
    <w:rsid w:val="00C14FA8"/>
    <w:rsid w:val="00C164E0"/>
    <w:rsid w:val="00C46709"/>
    <w:rsid w:val="00C50358"/>
    <w:rsid w:val="00C50AB2"/>
    <w:rsid w:val="00C818F0"/>
    <w:rsid w:val="00C92898"/>
    <w:rsid w:val="00C97A02"/>
    <w:rsid w:val="00CC0156"/>
    <w:rsid w:val="00CC3B22"/>
    <w:rsid w:val="00CD6043"/>
    <w:rsid w:val="00D17236"/>
    <w:rsid w:val="00D65862"/>
    <w:rsid w:val="00D77507"/>
    <w:rsid w:val="00D840EB"/>
    <w:rsid w:val="00D84EF3"/>
    <w:rsid w:val="00DC1152"/>
    <w:rsid w:val="00DE4F67"/>
    <w:rsid w:val="00E33B8C"/>
    <w:rsid w:val="00E63310"/>
    <w:rsid w:val="00E74D3A"/>
    <w:rsid w:val="00E81550"/>
    <w:rsid w:val="00EA17D2"/>
    <w:rsid w:val="00EB3AAA"/>
    <w:rsid w:val="00EC355F"/>
    <w:rsid w:val="00EC4B6C"/>
    <w:rsid w:val="00F50565"/>
    <w:rsid w:val="00F54291"/>
    <w:rsid w:val="00F5461A"/>
    <w:rsid w:val="00F54F8D"/>
    <w:rsid w:val="00F84B38"/>
    <w:rsid w:val="00F85C2F"/>
    <w:rsid w:val="00F91EA1"/>
    <w:rsid w:val="00FC4DEA"/>
    <w:rsid w:val="00FD50AC"/>
    <w:rsid w:val="00FF1816"/>
    <w:rsid w:val="02015177"/>
    <w:rsid w:val="021C5080"/>
    <w:rsid w:val="02213DC1"/>
    <w:rsid w:val="02435E6C"/>
    <w:rsid w:val="02B80FB7"/>
    <w:rsid w:val="0BD26609"/>
    <w:rsid w:val="0DB0502F"/>
    <w:rsid w:val="0DE0681B"/>
    <w:rsid w:val="0DFA7D70"/>
    <w:rsid w:val="0E172CFE"/>
    <w:rsid w:val="0FD709DE"/>
    <w:rsid w:val="110F5421"/>
    <w:rsid w:val="11CB7BF9"/>
    <w:rsid w:val="12155446"/>
    <w:rsid w:val="12B56E60"/>
    <w:rsid w:val="13CF77F6"/>
    <w:rsid w:val="149477B4"/>
    <w:rsid w:val="150D5A2A"/>
    <w:rsid w:val="16E71491"/>
    <w:rsid w:val="17242FBD"/>
    <w:rsid w:val="1BCA4E78"/>
    <w:rsid w:val="1CB377BE"/>
    <w:rsid w:val="1E2B3160"/>
    <w:rsid w:val="1E5F01A4"/>
    <w:rsid w:val="1F2725E9"/>
    <w:rsid w:val="21521F8F"/>
    <w:rsid w:val="218E51C7"/>
    <w:rsid w:val="2313573B"/>
    <w:rsid w:val="25500349"/>
    <w:rsid w:val="2563549F"/>
    <w:rsid w:val="257D0E1F"/>
    <w:rsid w:val="25EA3382"/>
    <w:rsid w:val="26E47A4D"/>
    <w:rsid w:val="278C0C31"/>
    <w:rsid w:val="282D2F30"/>
    <w:rsid w:val="284D23DB"/>
    <w:rsid w:val="28525EFB"/>
    <w:rsid w:val="296D10F3"/>
    <w:rsid w:val="2B0575D5"/>
    <w:rsid w:val="2B1B7EA1"/>
    <w:rsid w:val="2B4A1A97"/>
    <w:rsid w:val="2E3816CF"/>
    <w:rsid w:val="32470A5E"/>
    <w:rsid w:val="340B4780"/>
    <w:rsid w:val="344B31BB"/>
    <w:rsid w:val="36C05059"/>
    <w:rsid w:val="36DD6EA7"/>
    <w:rsid w:val="384C1CE2"/>
    <w:rsid w:val="39F920C1"/>
    <w:rsid w:val="3CD11F99"/>
    <w:rsid w:val="3DCF05FF"/>
    <w:rsid w:val="3F437FCA"/>
    <w:rsid w:val="45002580"/>
    <w:rsid w:val="460B338F"/>
    <w:rsid w:val="47BA4F6F"/>
    <w:rsid w:val="493C6CF2"/>
    <w:rsid w:val="4A56629F"/>
    <w:rsid w:val="4AA11EFA"/>
    <w:rsid w:val="4B446AF5"/>
    <w:rsid w:val="4BFE4488"/>
    <w:rsid w:val="4E73523D"/>
    <w:rsid w:val="500257CC"/>
    <w:rsid w:val="5380112A"/>
    <w:rsid w:val="55422C18"/>
    <w:rsid w:val="565278AB"/>
    <w:rsid w:val="5A481394"/>
    <w:rsid w:val="5A64684D"/>
    <w:rsid w:val="5CA10789"/>
    <w:rsid w:val="60155D7C"/>
    <w:rsid w:val="61705412"/>
    <w:rsid w:val="61EF0FEE"/>
    <w:rsid w:val="6269079C"/>
    <w:rsid w:val="63273EDD"/>
    <w:rsid w:val="65CA2B41"/>
    <w:rsid w:val="66391014"/>
    <w:rsid w:val="66616B85"/>
    <w:rsid w:val="670B688D"/>
    <w:rsid w:val="68222949"/>
    <w:rsid w:val="693D3DB7"/>
    <w:rsid w:val="6D7966A2"/>
    <w:rsid w:val="71B03A93"/>
    <w:rsid w:val="734251B8"/>
    <w:rsid w:val="74310C33"/>
    <w:rsid w:val="74CE5B71"/>
    <w:rsid w:val="75001EF8"/>
    <w:rsid w:val="78AA0EED"/>
    <w:rsid w:val="7AF10592"/>
    <w:rsid w:val="7CDA4E6C"/>
    <w:rsid w:val="7D9A0AF0"/>
    <w:rsid w:val="7E797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1"/>
    <w:semiHidden/>
    <w:unhideWhenUsed/>
    <w:uiPriority w:val="0"/>
    <w:rPr>
      <w:sz w:val="18"/>
      <w:szCs w:val="18"/>
    </w:r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qFormat/>
    <w:uiPriority w:val="0"/>
    <w:pPr>
      <w:widowControl w:val="0"/>
      <w:spacing w:before="100" w:beforeAutospacing="1" w:after="100" w:afterAutospacing="1"/>
    </w:pPr>
    <w:rPr>
      <w:rFonts w:ascii="Times New Roman" w:hAnsi="Times New Roman" w:eastAsia="宋体" w:cs="Times New Roman"/>
      <w:sz w:val="24"/>
      <w:szCs w:val="24"/>
      <w:lang w:val="en-US" w:eastAsia="zh-CN" w:bidi="ar-SA"/>
    </w:rPr>
  </w:style>
  <w:style w:type="character" w:styleId="9">
    <w:name w:val="page number"/>
    <w:basedOn w:val="8"/>
    <w:uiPriority w:val="0"/>
  </w:style>
  <w:style w:type="character" w:customStyle="1" w:styleId="10">
    <w:name w:val="页眉 字符"/>
    <w:basedOn w:val="8"/>
    <w:link w:val="5"/>
    <w:uiPriority w:val="0"/>
    <w:rPr>
      <w:kern w:val="2"/>
      <w:sz w:val="18"/>
      <w:szCs w:val="18"/>
    </w:rPr>
  </w:style>
  <w:style w:type="character" w:customStyle="1" w:styleId="11">
    <w:name w:val="批注框文本 字符"/>
    <w:basedOn w:val="8"/>
    <w:link w:val="3"/>
    <w:semiHidden/>
    <w:uiPriority w:val="0"/>
    <w:rPr>
      <w:kern w:val="2"/>
      <w:sz w:val="18"/>
      <w:szCs w:val="18"/>
    </w:rPr>
  </w:style>
  <w:style w:type="paragraph" w:customStyle="1" w:styleId="12">
    <w:name w:val="ds-markdown-paragraph"/>
    <w:basedOn w:val="1"/>
    <w:uiPriority w:val="0"/>
    <w:pPr>
      <w:widowControl/>
      <w:spacing w:before="100" w:beforeAutospacing="1" w:after="100" w:afterAutospacing="1"/>
      <w:jc w:val="left"/>
    </w:pPr>
    <w:rPr>
      <w:rFonts w:ascii="宋体" w:hAnsi="宋体" w:cs="宋体"/>
      <w:kern w:val="0"/>
      <w:sz w:val="24"/>
    </w:rPr>
  </w:style>
  <w:style w:type="character" w:customStyle="1" w:styleId="13">
    <w:name w:val="日期 字符"/>
    <w:basedOn w:val="8"/>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lut</Company>
  <Pages>6</Pages>
  <Words>3819</Words>
  <Characters>3914</Characters>
  <Lines>32</Lines>
  <Paragraphs>9</Paragraphs>
  <TotalTime>293</TotalTime>
  <ScaleCrop>false</ScaleCrop>
  <LinksUpToDate>false</LinksUpToDate>
  <CharactersWithSpaces>4415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2024-09-12T04:21:00Z</dcterms:created>
  <dc:creator>Administrator</dc:creator>
  <cp:lastModifiedBy>杜丽芳</cp:lastModifiedBy>
  <cp:lastPrinted>2025-09-08T03:58:00Z</cp:lastPrinted>
  <dcterms:modified xsi:type="dcterms:W3CDTF">2025-09-11T08:39:27Z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211DCFCACE334C5DA8D9AFFD0FC1DCE2_12</vt:lpwstr>
  </property>
</Properties>
</file>